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68BE" w14:textId="77777777" w:rsidR="00293153" w:rsidRPr="000F52B8" w:rsidRDefault="00E930BB" w:rsidP="00E930BB">
      <w:pPr>
        <w:spacing w:after="240"/>
        <w:jc w:val="center"/>
        <w:rPr>
          <w:b/>
          <w:color w:val="C00000"/>
          <w:sz w:val="24"/>
          <w:szCs w:val="20"/>
        </w:rPr>
      </w:pPr>
      <w:r w:rsidRPr="000F52B8">
        <w:rPr>
          <w:b/>
          <w:color w:val="C00000"/>
          <w:sz w:val="24"/>
          <w:szCs w:val="20"/>
        </w:rPr>
        <w:t>STABILIZACE FI</w:t>
      </w:r>
      <w:r w:rsidR="00A87CE1" w:rsidRPr="000F52B8">
        <w:rPr>
          <w:b/>
          <w:color w:val="C00000"/>
          <w:sz w:val="24"/>
          <w:szCs w:val="20"/>
        </w:rPr>
        <w:t>N</w:t>
      </w:r>
      <w:r w:rsidRPr="000F52B8">
        <w:rPr>
          <w:b/>
          <w:color w:val="C00000"/>
          <w:sz w:val="24"/>
          <w:szCs w:val="20"/>
        </w:rPr>
        <w:t>ANCOVÁNÍ ÚSTAVŮ V LETECH 2024</w:t>
      </w:r>
      <w:r w:rsidR="004D60C6" w:rsidRPr="000F52B8">
        <w:rPr>
          <w:b/>
          <w:color w:val="C00000"/>
          <w:sz w:val="24"/>
          <w:szCs w:val="20"/>
        </w:rPr>
        <w:t xml:space="preserve"> A</w:t>
      </w:r>
      <w:r w:rsidRPr="000F52B8">
        <w:rPr>
          <w:b/>
          <w:color w:val="C00000"/>
          <w:sz w:val="24"/>
          <w:szCs w:val="20"/>
        </w:rPr>
        <w:t xml:space="preserve"> 2025</w:t>
      </w:r>
      <w:r w:rsidR="00D95B4E" w:rsidRPr="000F52B8">
        <w:rPr>
          <w:b/>
          <w:color w:val="C00000"/>
          <w:sz w:val="24"/>
          <w:szCs w:val="20"/>
        </w:rPr>
        <w:t xml:space="preserve"> </w:t>
      </w:r>
      <w:r w:rsidR="00EA4F5E" w:rsidRPr="000F52B8">
        <w:rPr>
          <w:b/>
          <w:color w:val="C00000"/>
          <w:sz w:val="24"/>
          <w:szCs w:val="20"/>
        </w:rPr>
        <w:t xml:space="preserve">A OD ROKU </w:t>
      </w:r>
      <w:r w:rsidRPr="000F52B8">
        <w:rPr>
          <w:b/>
          <w:color w:val="C00000"/>
          <w:sz w:val="24"/>
          <w:szCs w:val="20"/>
        </w:rPr>
        <w:t>2026</w:t>
      </w:r>
    </w:p>
    <w:p w14:paraId="25CE1DDD" w14:textId="77777777" w:rsidR="00E930BB" w:rsidRPr="000F52B8" w:rsidRDefault="00E930BB" w:rsidP="00E930BB">
      <w:pPr>
        <w:jc w:val="both"/>
      </w:pPr>
      <w:r w:rsidRPr="000F52B8">
        <w:t>Pro stabilizaci financování ústavů budou spočtené disponibilní finanční prostředky ústavů (</w:t>
      </w:r>
      <w:r w:rsidRPr="000F52B8">
        <w:rPr>
          <w:color w:val="C00000"/>
        </w:rPr>
        <w:t>FUD</w:t>
      </w:r>
      <w:r w:rsidRPr="000F52B8">
        <w:rPr>
          <w:color w:val="C00000"/>
          <w:vertAlign w:val="subscript"/>
        </w:rPr>
        <w:t>R,i</w:t>
      </w:r>
      <w:r w:rsidRPr="000F52B8">
        <w:t>) korigovány takto:</w:t>
      </w:r>
    </w:p>
    <w:p w14:paraId="6F5C5CC8" w14:textId="4FE57C64" w:rsidR="00E930BB" w:rsidRPr="000F52B8" w:rsidRDefault="000479BB" w:rsidP="00E930BB">
      <w:pPr>
        <w:tabs>
          <w:tab w:val="left" w:pos="6946"/>
        </w:tabs>
        <w:ind w:firstLine="567"/>
        <w:jc w:val="both"/>
      </w:pPr>
      <w:proofErr w:type="gramStart"/>
      <w:r w:rsidRPr="000F52B8">
        <w:rPr>
          <w:color w:val="C00000"/>
        </w:rPr>
        <w:t>FUK</w:t>
      </w:r>
      <w:r w:rsidR="00D95B4E" w:rsidRPr="000F52B8">
        <w:rPr>
          <w:color w:val="C00000"/>
          <w:vertAlign w:val="subscript"/>
        </w:rPr>
        <w:t>R,</w:t>
      </w:r>
      <w:r w:rsidR="00E930BB" w:rsidRPr="000F52B8">
        <w:rPr>
          <w:color w:val="C00000"/>
          <w:vertAlign w:val="subscript"/>
        </w:rPr>
        <w:t>i</w:t>
      </w:r>
      <w:proofErr w:type="gramEnd"/>
      <w:r w:rsidR="00E930BB" w:rsidRPr="000F52B8">
        <w:t xml:space="preserve"> = (</w:t>
      </w:r>
      <w:r w:rsidR="00E930BB" w:rsidRPr="000F52B8">
        <w:rPr>
          <w:color w:val="C00000"/>
        </w:rPr>
        <w:t>k</w:t>
      </w:r>
      <w:r w:rsidR="00E930BB" w:rsidRPr="000F52B8">
        <w:rPr>
          <w:color w:val="C00000"/>
          <w:vertAlign w:val="subscript"/>
        </w:rPr>
        <w:t>R-2</w:t>
      </w:r>
      <w:r w:rsidR="00E930BB" w:rsidRPr="000F52B8">
        <w:t xml:space="preserve"> </w:t>
      </w:r>
      <w:r w:rsidR="00E930BB" w:rsidRPr="000F52B8">
        <w:rPr>
          <w:rFonts w:cstheme="minorHAnsi"/>
        </w:rPr>
        <w:t>×</w:t>
      </w:r>
      <w:r w:rsidR="00E930BB" w:rsidRPr="000F52B8">
        <w:t xml:space="preserve"> </w:t>
      </w:r>
      <w:r w:rsidR="00E930BB" w:rsidRPr="000F52B8">
        <w:rPr>
          <w:color w:val="C00000"/>
        </w:rPr>
        <w:t>FU</w:t>
      </w:r>
      <w:r w:rsidR="00E930BB" w:rsidRPr="000F52B8">
        <w:rPr>
          <w:color w:val="C00000"/>
          <w:vertAlign w:val="subscript"/>
        </w:rPr>
        <w:t>R-2,i</w:t>
      </w:r>
      <w:r w:rsidR="00E930BB" w:rsidRPr="000F52B8">
        <w:t xml:space="preserve"> + </w:t>
      </w:r>
      <w:r w:rsidR="00E930BB" w:rsidRPr="000F52B8">
        <w:rPr>
          <w:color w:val="C00000"/>
        </w:rPr>
        <w:t>k</w:t>
      </w:r>
      <w:r w:rsidR="00E930BB" w:rsidRPr="000F52B8">
        <w:rPr>
          <w:color w:val="C00000"/>
          <w:vertAlign w:val="subscript"/>
        </w:rPr>
        <w:t>R-1</w:t>
      </w:r>
      <w:r w:rsidR="00E930BB" w:rsidRPr="000F52B8">
        <w:t xml:space="preserve"> </w:t>
      </w:r>
      <w:r w:rsidR="00E930BB" w:rsidRPr="000F52B8">
        <w:rPr>
          <w:rFonts w:cstheme="minorHAnsi"/>
        </w:rPr>
        <w:t>×</w:t>
      </w:r>
      <w:r w:rsidR="00E930BB" w:rsidRPr="000F52B8">
        <w:t xml:space="preserve"> </w:t>
      </w:r>
      <w:r w:rsidR="00E930BB" w:rsidRPr="000F52B8">
        <w:rPr>
          <w:color w:val="C00000"/>
        </w:rPr>
        <w:t>FU</w:t>
      </w:r>
      <w:r w:rsidR="00E930BB" w:rsidRPr="000F52B8">
        <w:rPr>
          <w:color w:val="C00000"/>
          <w:vertAlign w:val="subscript"/>
        </w:rPr>
        <w:t>R-1,i</w:t>
      </w:r>
      <w:r w:rsidR="00E930BB" w:rsidRPr="000F52B8">
        <w:t xml:space="preserve"> + </w:t>
      </w:r>
      <w:r w:rsidR="00E930BB" w:rsidRPr="000F52B8">
        <w:rPr>
          <w:color w:val="C00000"/>
        </w:rPr>
        <w:t>k</w:t>
      </w:r>
      <w:r w:rsidR="00E930BB" w:rsidRPr="000F52B8">
        <w:rPr>
          <w:color w:val="C00000"/>
          <w:vertAlign w:val="subscript"/>
        </w:rPr>
        <w:t>R</w:t>
      </w:r>
      <w:r w:rsidR="00E930BB" w:rsidRPr="000F52B8">
        <w:t xml:space="preserve"> </w:t>
      </w:r>
      <w:r w:rsidR="00E930BB" w:rsidRPr="000F52B8">
        <w:rPr>
          <w:rFonts w:cstheme="minorHAnsi"/>
        </w:rPr>
        <w:t>×</w:t>
      </w:r>
      <w:r w:rsidR="00E930BB" w:rsidRPr="000F52B8">
        <w:t xml:space="preserve"> </w:t>
      </w:r>
      <w:r w:rsidR="00E930BB" w:rsidRPr="000F52B8">
        <w:rPr>
          <w:color w:val="C00000"/>
        </w:rPr>
        <w:t>FU</w:t>
      </w:r>
      <w:r w:rsidRPr="000F52B8">
        <w:rPr>
          <w:color w:val="C00000"/>
        </w:rPr>
        <w:t>C</w:t>
      </w:r>
      <w:r w:rsidR="00E930BB" w:rsidRPr="000F52B8">
        <w:rPr>
          <w:color w:val="C00000"/>
          <w:vertAlign w:val="subscript"/>
        </w:rPr>
        <w:t>R,i</w:t>
      </w:r>
      <w:r w:rsidR="00E930BB" w:rsidRPr="000F52B8">
        <w:t>) / (</w:t>
      </w:r>
      <w:r w:rsidR="00E930BB" w:rsidRPr="000F52B8">
        <w:rPr>
          <w:color w:val="C00000"/>
        </w:rPr>
        <w:t>k</w:t>
      </w:r>
      <w:r w:rsidR="00E930BB" w:rsidRPr="000F52B8">
        <w:rPr>
          <w:color w:val="C00000"/>
          <w:vertAlign w:val="subscript"/>
        </w:rPr>
        <w:t>R-2</w:t>
      </w:r>
      <w:r w:rsidR="00E930BB" w:rsidRPr="000F52B8">
        <w:t xml:space="preserve"> + </w:t>
      </w:r>
      <w:r w:rsidR="00E930BB" w:rsidRPr="000F52B8">
        <w:rPr>
          <w:color w:val="C00000"/>
        </w:rPr>
        <w:t>k</w:t>
      </w:r>
      <w:r w:rsidR="00E930BB" w:rsidRPr="000F52B8">
        <w:rPr>
          <w:color w:val="C00000"/>
          <w:vertAlign w:val="subscript"/>
        </w:rPr>
        <w:t>R-1</w:t>
      </w:r>
      <w:r w:rsidR="00E930BB" w:rsidRPr="000F52B8">
        <w:t xml:space="preserve"> + </w:t>
      </w:r>
      <w:r w:rsidR="00E930BB" w:rsidRPr="000F52B8">
        <w:rPr>
          <w:color w:val="C00000"/>
        </w:rPr>
        <w:t>k</w:t>
      </w:r>
      <w:r w:rsidR="00E930BB" w:rsidRPr="000F52B8">
        <w:rPr>
          <w:color w:val="C00000"/>
          <w:vertAlign w:val="subscript"/>
        </w:rPr>
        <w:t>R</w:t>
      </w:r>
      <w:r w:rsidR="00E930BB" w:rsidRPr="000F52B8">
        <w:t>)</w:t>
      </w:r>
      <w:r w:rsidR="00E930BB" w:rsidRPr="000F52B8">
        <w:tab/>
      </w:r>
      <w:r w:rsidR="00E930BB" w:rsidRPr="000F52B8">
        <w:rPr>
          <w:rFonts w:cstheme="minorHAnsi"/>
          <w:color w:val="C00000"/>
        </w:rPr>
        <w:t>FU</w:t>
      </w:r>
      <w:r w:rsidRPr="000F52B8">
        <w:rPr>
          <w:rFonts w:cstheme="minorHAnsi"/>
          <w:color w:val="C00000"/>
        </w:rPr>
        <w:t>K</w:t>
      </w:r>
      <w:r w:rsidR="00E930BB" w:rsidRPr="000F52B8">
        <w:rPr>
          <w:rFonts w:cstheme="minorHAnsi"/>
          <w:color w:val="C00000"/>
          <w:vertAlign w:val="subscript"/>
        </w:rPr>
        <w:t>R</w:t>
      </w:r>
      <w:r w:rsidR="00E930BB" w:rsidRPr="000F52B8">
        <w:rPr>
          <w:rFonts w:cstheme="minorHAnsi"/>
          <w:color w:val="C00000"/>
        </w:rPr>
        <w:t xml:space="preserve"> </w:t>
      </w:r>
      <w:r w:rsidR="00E930BB" w:rsidRPr="000F52B8">
        <w:rPr>
          <w:rFonts w:cstheme="minorHAnsi"/>
        </w:rPr>
        <w:t xml:space="preserve">= </w:t>
      </w:r>
      <w:r w:rsidR="00E930BB" w:rsidRPr="000F52B8">
        <w:rPr>
          <w:rFonts w:ascii="Symbol" w:hAnsi="Symbol" w:cstheme="minorHAnsi"/>
        </w:rPr>
        <w:t></w:t>
      </w:r>
      <w:r w:rsidR="00E930BB" w:rsidRPr="000F52B8">
        <w:rPr>
          <w:rFonts w:cstheme="minorHAnsi"/>
          <w:color w:val="C00000"/>
          <w:vertAlign w:val="subscript"/>
        </w:rPr>
        <w:t>i</w:t>
      </w:r>
      <w:r w:rsidR="00E930BB" w:rsidRPr="000F52B8">
        <w:rPr>
          <w:rFonts w:cstheme="minorHAnsi"/>
          <w:color w:val="C00000"/>
        </w:rPr>
        <w:t xml:space="preserve"> FU</w:t>
      </w:r>
      <w:r w:rsidRPr="000F52B8">
        <w:rPr>
          <w:rFonts w:cstheme="minorHAnsi"/>
          <w:color w:val="C00000"/>
        </w:rPr>
        <w:t>K</w:t>
      </w:r>
      <w:r w:rsidR="00E930BB" w:rsidRPr="000F52B8">
        <w:rPr>
          <w:rFonts w:cstheme="minorHAnsi"/>
          <w:color w:val="C00000"/>
          <w:vertAlign w:val="subscript"/>
        </w:rPr>
        <w:t>R,i</w:t>
      </w:r>
    </w:p>
    <w:p w14:paraId="45605905" w14:textId="77777777" w:rsidR="00E930BB" w:rsidRPr="000F52B8" w:rsidRDefault="00E930BB" w:rsidP="00E930BB">
      <w:pPr>
        <w:jc w:val="both"/>
      </w:pPr>
      <w:r w:rsidRPr="000F52B8">
        <w:rPr>
          <w:spacing w:val="-2"/>
        </w:rPr>
        <w:t xml:space="preserve">kde koeficienty </w:t>
      </w:r>
      <w:r w:rsidRPr="000F52B8">
        <w:rPr>
          <w:color w:val="C00000"/>
          <w:spacing w:val="-2"/>
        </w:rPr>
        <w:t>k</w:t>
      </w:r>
      <w:r w:rsidRPr="000F52B8">
        <w:rPr>
          <w:color w:val="C00000"/>
          <w:spacing w:val="-2"/>
          <w:vertAlign w:val="subscript"/>
        </w:rPr>
        <w:t>R</w:t>
      </w:r>
      <w:r w:rsidRPr="000F52B8">
        <w:rPr>
          <w:spacing w:val="-2"/>
        </w:rPr>
        <w:t xml:space="preserve">, </w:t>
      </w:r>
      <w:r w:rsidRPr="000F52B8">
        <w:rPr>
          <w:color w:val="C00000"/>
          <w:spacing w:val="-2"/>
        </w:rPr>
        <w:t>k</w:t>
      </w:r>
      <w:r w:rsidRPr="000F52B8">
        <w:rPr>
          <w:color w:val="C00000"/>
          <w:spacing w:val="-2"/>
          <w:vertAlign w:val="subscript"/>
        </w:rPr>
        <w:t>R-1</w:t>
      </w:r>
      <w:r w:rsidRPr="000F52B8">
        <w:rPr>
          <w:color w:val="C00000"/>
          <w:spacing w:val="-2"/>
        </w:rPr>
        <w:t xml:space="preserve"> </w:t>
      </w:r>
      <w:r w:rsidRPr="000F52B8">
        <w:rPr>
          <w:spacing w:val="-2"/>
        </w:rPr>
        <w:t xml:space="preserve">a </w:t>
      </w:r>
      <w:r w:rsidRPr="000F52B8">
        <w:rPr>
          <w:color w:val="C00000"/>
          <w:spacing w:val="-2"/>
        </w:rPr>
        <w:t>k</w:t>
      </w:r>
      <w:r w:rsidRPr="000F52B8">
        <w:rPr>
          <w:color w:val="C00000"/>
          <w:spacing w:val="-2"/>
          <w:vertAlign w:val="subscript"/>
        </w:rPr>
        <w:t xml:space="preserve">R-2 </w:t>
      </w:r>
      <w:r w:rsidRPr="000F52B8">
        <w:rPr>
          <w:spacing w:val="-2"/>
        </w:rPr>
        <w:t>vyjadřují váhu započítání finančních prostředků z jednotlivých rozpočtových</w:t>
      </w:r>
      <w:r w:rsidRPr="000F52B8">
        <w:t xml:space="preserve"> roků.</w:t>
      </w:r>
    </w:p>
    <w:p w14:paraId="1C43F21B" w14:textId="77777777" w:rsidR="00E930BB" w:rsidRPr="000F52B8" w:rsidRDefault="00E930BB" w:rsidP="00E930BB">
      <w:pPr>
        <w:pStyle w:val="Nadpis3"/>
        <w:numPr>
          <w:ilvl w:val="0"/>
          <w:numId w:val="46"/>
        </w:numPr>
        <w:ind w:left="284" w:hanging="284"/>
        <w:rPr>
          <w:color w:val="C00000"/>
        </w:rPr>
      </w:pPr>
      <w:r w:rsidRPr="000F52B8">
        <w:rPr>
          <w:color w:val="C00000"/>
        </w:rPr>
        <w:t>Stabilizace financování ústavů v rozpočtovém roce 2024</w:t>
      </w:r>
    </w:p>
    <w:p w14:paraId="75ABAEC0" w14:textId="77777777" w:rsidR="00E930BB" w:rsidRPr="000F52B8" w:rsidRDefault="00E930BB" w:rsidP="00E930BB">
      <w:pPr>
        <w:spacing w:after="40"/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R-2,i</w:t>
      </w:r>
      <w:r w:rsidRPr="000F52B8">
        <w:rPr>
          <w:color w:val="C00000"/>
        </w:rPr>
        <w:t xml:space="preserve"> </w:t>
      </w:r>
      <w:r w:rsidRPr="000F52B8">
        <w:tab/>
      </w:r>
      <w:r w:rsidRPr="000F52B8">
        <w:rPr>
          <w:spacing w:val="-3"/>
        </w:rPr>
        <w:t xml:space="preserve">finanční prostředky vyplacené na tarifní mzdy a osobní ohodnocení pracovníků ústavů ve fiskálním roce 2022 (mimo osobního ohodnocení vedoucího a příplatků za činnosti pro fakultu), hrazené </w:t>
      </w:r>
      <w:r w:rsidRPr="000F52B8">
        <w:t>z příspěvku na vzdělávání a institucionální podpory, plus finanční prostředky na provoz ve výši stanovené dle SRNP pro rozpočtový rok 2022,</w:t>
      </w:r>
    </w:p>
    <w:p w14:paraId="565BFDC0" w14:textId="77777777" w:rsidR="00E930BB" w:rsidRPr="000F52B8" w:rsidRDefault="00E930BB" w:rsidP="00E930BB">
      <w:pPr>
        <w:spacing w:after="40"/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R-1,i</w:t>
      </w:r>
      <w:r w:rsidRPr="000F52B8">
        <w:rPr>
          <w:color w:val="C00000"/>
        </w:rPr>
        <w:t xml:space="preserve"> </w:t>
      </w:r>
      <w:r w:rsidRPr="000F52B8">
        <w:tab/>
      </w:r>
      <w:r w:rsidRPr="000F52B8">
        <w:rPr>
          <w:spacing w:val="-3"/>
        </w:rPr>
        <w:t>finanční prostředky vyplacené na tarifní mzdy a osobní ohodnocení pracovníků ústavů ve fiskálním roce 2023 (mimo osobního ohodnocení vedoucího a příplatků za činnosti pro fakultu), hrazené</w:t>
      </w:r>
      <w:r w:rsidRPr="000F52B8">
        <w:t xml:space="preserve"> z příspěvku na vzdělávání a institucionální podpory, plus finanční prostředky na provoz ve výši stanovené dle SRNP pro rozpočtový rok 2023,</w:t>
      </w:r>
    </w:p>
    <w:p w14:paraId="22228E49" w14:textId="77777777" w:rsidR="00E930BB" w:rsidRPr="000F52B8" w:rsidRDefault="00E930BB" w:rsidP="00E930BB">
      <w:pPr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R,i</w:t>
      </w:r>
      <w:r w:rsidRPr="000F52B8">
        <w:rPr>
          <w:color w:val="C00000"/>
        </w:rPr>
        <w:t xml:space="preserve"> </w:t>
      </w:r>
      <w:r w:rsidRPr="000F52B8">
        <w:rPr>
          <w:color w:val="C00000"/>
          <w:vertAlign w:val="subscript"/>
        </w:rPr>
        <w:tab/>
      </w:r>
      <w:r w:rsidRPr="000F52B8">
        <w:t>finanční prostředky spočtené dle PRFP pro rozpočtový rok 2024.</w:t>
      </w:r>
    </w:p>
    <w:p w14:paraId="22B950B3" w14:textId="36487810" w:rsidR="00E930BB" w:rsidRPr="000F52B8" w:rsidRDefault="00E930BB" w:rsidP="00E930BB">
      <w:pPr>
        <w:jc w:val="both"/>
      </w:pPr>
      <w:r w:rsidRPr="000F52B8">
        <w:t>Pro rok 2024 platí, že:</w:t>
      </w:r>
      <w:r w:rsidRPr="000F52B8">
        <w:rPr>
          <w:color w:val="C00000"/>
        </w:rPr>
        <w:t xml:space="preserve"> FU</w:t>
      </w:r>
      <w:r w:rsidRPr="000F52B8">
        <w:rPr>
          <w:color w:val="C00000"/>
          <w:vertAlign w:val="subscript"/>
        </w:rPr>
        <w:t>R-</w:t>
      </w:r>
      <w:proofErr w:type="gramStart"/>
      <w:r w:rsidRPr="000F52B8">
        <w:rPr>
          <w:color w:val="C00000"/>
          <w:vertAlign w:val="subscript"/>
        </w:rPr>
        <w:t>2,i</w:t>
      </w:r>
      <w:proofErr w:type="gramEnd"/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Pr="000F52B8">
        <w:rPr>
          <w:color w:val="C00000"/>
          <w:vertAlign w:val="subscript"/>
        </w:rPr>
        <w:t>22,i</w:t>
      </w:r>
      <w:r w:rsidRPr="000F52B8">
        <w:t xml:space="preserve">, </w:t>
      </w: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R-1,i</w:t>
      </w:r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Pr="000F52B8">
        <w:rPr>
          <w:color w:val="C00000"/>
          <w:vertAlign w:val="subscript"/>
        </w:rPr>
        <w:t>23,i</w:t>
      </w:r>
      <w:r w:rsidRPr="000F52B8">
        <w:t xml:space="preserve">, </w:t>
      </w: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R,i</w:t>
      </w:r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="000479BB" w:rsidRPr="000F52B8">
        <w:rPr>
          <w:color w:val="C00000"/>
        </w:rPr>
        <w:t>C</w:t>
      </w:r>
      <w:r w:rsidRPr="000F52B8">
        <w:rPr>
          <w:color w:val="C00000"/>
          <w:vertAlign w:val="subscript"/>
        </w:rPr>
        <w:t>24,i</w:t>
      </w:r>
      <w:r w:rsidRPr="000F52B8">
        <w:t xml:space="preserve">,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R-2</w:t>
      </w:r>
      <w:r w:rsidR="000479BB" w:rsidRPr="000F52B8">
        <w:t xml:space="preserve"> =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22</w:t>
      </w:r>
      <w:r w:rsidR="000479BB" w:rsidRPr="000F52B8">
        <w:t>,</w:t>
      </w:r>
      <w:r w:rsidR="000479BB" w:rsidRPr="000F52B8">
        <w:rPr>
          <w:color w:val="C00000"/>
          <w:vertAlign w:val="subscript"/>
        </w:rPr>
        <w:t xml:space="preserve"> </w:t>
      </w:r>
      <w:r w:rsidRPr="000F52B8">
        <w:rPr>
          <w:color w:val="C00000"/>
        </w:rPr>
        <w:t>k</w:t>
      </w:r>
      <w:r w:rsidRPr="000F52B8">
        <w:rPr>
          <w:color w:val="C00000"/>
          <w:vertAlign w:val="subscript"/>
        </w:rPr>
        <w:t>R-1</w:t>
      </w:r>
      <w:r w:rsidRPr="000F52B8">
        <w:t xml:space="preserve"> = </w:t>
      </w:r>
      <w:r w:rsidRPr="000F52B8">
        <w:rPr>
          <w:color w:val="C00000"/>
        </w:rPr>
        <w:t>k</w:t>
      </w:r>
      <w:r w:rsidRPr="000F52B8">
        <w:rPr>
          <w:color w:val="C00000"/>
          <w:vertAlign w:val="subscript"/>
        </w:rPr>
        <w:t>23</w:t>
      </w:r>
      <w:r w:rsidRPr="000F52B8">
        <w:rPr>
          <w:color w:val="C00000"/>
        </w:rPr>
        <w:t xml:space="preserve"> </w:t>
      </w:r>
      <w:r w:rsidRPr="000F52B8">
        <w:t>a</w:t>
      </w:r>
      <w:r w:rsidR="000479BB" w:rsidRPr="000F52B8">
        <w:t xml:space="preserve">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R</w:t>
      </w:r>
      <w:r w:rsidR="000479BB" w:rsidRPr="000F52B8">
        <w:t xml:space="preserve"> =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24</w:t>
      </w:r>
      <w:r w:rsidRPr="000F52B8">
        <w:t>.</w:t>
      </w:r>
    </w:p>
    <w:p w14:paraId="3A59B620" w14:textId="77777777" w:rsidR="00E930BB" w:rsidRPr="000F52B8" w:rsidRDefault="00E930BB" w:rsidP="00E930BB">
      <w:pPr>
        <w:pStyle w:val="Nadpis3"/>
        <w:numPr>
          <w:ilvl w:val="0"/>
          <w:numId w:val="46"/>
        </w:numPr>
        <w:ind w:left="284" w:hanging="284"/>
        <w:rPr>
          <w:color w:val="C00000"/>
        </w:rPr>
      </w:pPr>
      <w:r w:rsidRPr="000F52B8">
        <w:rPr>
          <w:color w:val="C00000"/>
        </w:rPr>
        <w:t>Stabilizace financování ústavů v rozpočtovém roce 2025</w:t>
      </w:r>
    </w:p>
    <w:p w14:paraId="1EACADF6" w14:textId="77777777" w:rsidR="00E930BB" w:rsidRPr="000F52B8" w:rsidRDefault="00E930BB" w:rsidP="00E930BB">
      <w:pPr>
        <w:spacing w:after="40"/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R-2,i</w:t>
      </w:r>
      <w:r w:rsidRPr="000F52B8">
        <w:rPr>
          <w:color w:val="C00000"/>
        </w:rPr>
        <w:t xml:space="preserve"> </w:t>
      </w:r>
      <w:r w:rsidRPr="000F52B8">
        <w:tab/>
      </w:r>
      <w:r w:rsidRPr="000F52B8">
        <w:rPr>
          <w:spacing w:val="-3"/>
        </w:rPr>
        <w:t xml:space="preserve">finanční prostředky vyplacené na tarifní mzdy a osobní ohodnocení pracovníků ústavů ve fiskálním roce 2022 (mimo osobního ohodnocení vedoucího a příplatků za činnosti pro fakultu), hrazené </w:t>
      </w:r>
      <w:r w:rsidRPr="000F52B8">
        <w:t>z příspěvku na vzdělávání a institucionální podpory, plus finanční prostředky na provoz ve výši stanovené dle SRNP pro rozpočtový rok 2023,</w:t>
      </w:r>
    </w:p>
    <w:p w14:paraId="619A8304" w14:textId="77777777" w:rsidR="00E930BB" w:rsidRPr="000F52B8" w:rsidRDefault="00E930BB" w:rsidP="00E930BB">
      <w:pPr>
        <w:spacing w:after="40"/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R-1,i</w:t>
      </w:r>
      <w:r w:rsidRPr="000F52B8">
        <w:rPr>
          <w:color w:val="C00000"/>
        </w:rPr>
        <w:t xml:space="preserve"> </w:t>
      </w:r>
      <w:r w:rsidRPr="000F52B8">
        <w:tab/>
        <w:t>finanční prostředky spočtené dle PRFP pro rozpočtový rok 2024,</w:t>
      </w:r>
    </w:p>
    <w:p w14:paraId="7FA129AF" w14:textId="77777777" w:rsidR="00E930BB" w:rsidRPr="000F52B8" w:rsidRDefault="00E930BB" w:rsidP="00E930BB">
      <w:pPr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R,i</w:t>
      </w:r>
      <w:r w:rsidRPr="000F52B8">
        <w:rPr>
          <w:color w:val="C00000"/>
        </w:rPr>
        <w:t xml:space="preserve"> </w:t>
      </w:r>
      <w:r w:rsidRPr="000F52B8">
        <w:rPr>
          <w:color w:val="C00000"/>
          <w:vertAlign w:val="subscript"/>
        </w:rPr>
        <w:tab/>
      </w:r>
      <w:r w:rsidRPr="000F52B8">
        <w:t>finanční prostředky spočtené dle PRFP pro rozpočtový rok 2025.</w:t>
      </w:r>
    </w:p>
    <w:p w14:paraId="64C91ABA" w14:textId="5B2987E3" w:rsidR="00E930BB" w:rsidRPr="000F52B8" w:rsidRDefault="00E930BB" w:rsidP="00E930BB">
      <w:pPr>
        <w:jc w:val="both"/>
      </w:pPr>
      <w:r w:rsidRPr="000F52B8">
        <w:t>Pro rok 2025 platí, že:</w:t>
      </w:r>
      <w:r w:rsidRPr="000F52B8">
        <w:rPr>
          <w:color w:val="C00000"/>
        </w:rPr>
        <w:t xml:space="preserve"> FU</w:t>
      </w:r>
      <w:r w:rsidRPr="000F52B8">
        <w:rPr>
          <w:color w:val="C00000"/>
          <w:vertAlign w:val="subscript"/>
        </w:rPr>
        <w:t>R-2,i</w:t>
      </w:r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Pr="000F52B8">
        <w:rPr>
          <w:color w:val="C00000"/>
          <w:vertAlign w:val="subscript"/>
        </w:rPr>
        <w:t>23,i</w:t>
      </w:r>
      <w:r w:rsidRPr="000F52B8">
        <w:t xml:space="preserve">, </w:t>
      </w: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R-1,i</w:t>
      </w:r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="000479BB" w:rsidRPr="000F52B8">
        <w:rPr>
          <w:color w:val="C00000"/>
        </w:rPr>
        <w:t>C</w:t>
      </w:r>
      <w:r w:rsidRPr="000F52B8">
        <w:rPr>
          <w:color w:val="C00000"/>
          <w:vertAlign w:val="subscript"/>
        </w:rPr>
        <w:t>24,i</w:t>
      </w:r>
      <w:r w:rsidRPr="000F52B8">
        <w:t xml:space="preserve">, </w:t>
      </w: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R,i</w:t>
      </w:r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="000479BB" w:rsidRPr="000F52B8">
        <w:rPr>
          <w:color w:val="C00000"/>
        </w:rPr>
        <w:t>C</w:t>
      </w:r>
      <w:r w:rsidRPr="000F52B8">
        <w:rPr>
          <w:color w:val="C00000"/>
          <w:vertAlign w:val="subscript"/>
        </w:rPr>
        <w:t>25,i</w:t>
      </w:r>
      <w:r w:rsidR="000479BB" w:rsidRPr="000F52B8">
        <w:rPr>
          <w:color w:val="C00000"/>
        </w:rPr>
        <w:t xml:space="preserve"> k</w:t>
      </w:r>
      <w:r w:rsidR="000479BB" w:rsidRPr="000F52B8">
        <w:rPr>
          <w:color w:val="C00000"/>
          <w:vertAlign w:val="subscript"/>
        </w:rPr>
        <w:t>R-2</w:t>
      </w:r>
      <w:r w:rsidR="000479BB" w:rsidRPr="000F52B8">
        <w:t xml:space="preserve"> =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23</w:t>
      </w:r>
      <w:r w:rsidR="000479BB" w:rsidRPr="000F52B8">
        <w:t>,</w:t>
      </w:r>
      <w:r w:rsidR="000479BB" w:rsidRPr="000F52B8">
        <w:rPr>
          <w:color w:val="C00000"/>
          <w:vertAlign w:val="subscript"/>
        </w:rPr>
        <w:t xml:space="preserve">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R-1</w:t>
      </w:r>
      <w:r w:rsidR="000479BB" w:rsidRPr="000F52B8">
        <w:t xml:space="preserve"> =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24</w:t>
      </w:r>
      <w:r w:rsidR="000479BB" w:rsidRPr="000F52B8">
        <w:rPr>
          <w:color w:val="C00000"/>
        </w:rPr>
        <w:t xml:space="preserve"> </w:t>
      </w:r>
      <w:r w:rsidR="000479BB" w:rsidRPr="000F52B8">
        <w:t xml:space="preserve">a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R</w:t>
      </w:r>
      <w:r w:rsidR="000479BB" w:rsidRPr="000F52B8">
        <w:t xml:space="preserve"> = </w:t>
      </w:r>
      <w:r w:rsidR="000479BB" w:rsidRPr="000F52B8">
        <w:rPr>
          <w:color w:val="C00000"/>
        </w:rPr>
        <w:t>k</w:t>
      </w:r>
      <w:r w:rsidR="000479BB" w:rsidRPr="000F52B8">
        <w:rPr>
          <w:color w:val="C00000"/>
          <w:vertAlign w:val="subscript"/>
        </w:rPr>
        <w:t>25</w:t>
      </w:r>
      <w:r w:rsidR="000479BB" w:rsidRPr="000F52B8">
        <w:t>.</w:t>
      </w:r>
    </w:p>
    <w:p w14:paraId="12135107" w14:textId="77777777" w:rsidR="00E930BB" w:rsidRPr="000F52B8" w:rsidRDefault="00E930BB" w:rsidP="00E930BB">
      <w:pPr>
        <w:pStyle w:val="Nadpis3"/>
        <w:numPr>
          <w:ilvl w:val="0"/>
          <w:numId w:val="46"/>
        </w:numPr>
        <w:ind w:left="284" w:hanging="284"/>
        <w:rPr>
          <w:color w:val="C00000"/>
        </w:rPr>
      </w:pPr>
      <w:r w:rsidRPr="000F52B8">
        <w:rPr>
          <w:color w:val="C00000"/>
        </w:rPr>
        <w:t>Stabilizace financování ústavů od rozpočtového roku 2026</w:t>
      </w:r>
    </w:p>
    <w:p w14:paraId="0A182BE6" w14:textId="77777777" w:rsidR="00E930BB" w:rsidRPr="000F52B8" w:rsidRDefault="00E930BB" w:rsidP="00E930BB">
      <w:pPr>
        <w:ind w:left="567" w:hanging="567"/>
        <w:jc w:val="both"/>
      </w:pPr>
      <w:r w:rsidRPr="000F52B8">
        <w:t xml:space="preserve">Označíme-li aktuální rozpočtový rok </w:t>
      </w:r>
      <w:r w:rsidRPr="000F52B8">
        <w:rPr>
          <w:color w:val="C00000"/>
        </w:rPr>
        <w:t>R</w:t>
      </w:r>
      <w:r w:rsidRPr="000F52B8">
        <w:t>, pak lze bude stabilizace počítána takto:</w:t>
      </w:r>
    </w:p>
    <w:p w14:paraId="5C58CC6D" w14:textId="77777777" w:rsidR="00E930BB" w:rsidRPr="000F52B8" w:rsidRDefault="00E930BB" w:rsidP="00E930BB">
      <w:pPr>
        <w:spacing w:after="40"/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R-2,i</w:t>
      </w:r>
      <w:r w:rsidRPr="000F52B8">
        <w:rPr>
          <w:color w:val="C00000"/>
        </w:rPr>
        <w:t xml:space="preserve"> </w:t>
      </w:r>
      <w:r w:rsidRPr="000F52B8">
        <w:tab/>
        <w:t xml:space="preserve">finanční prostředky spočtené dle PRFP pro rozpočtový rok </w:t>
      </w:r>
      <w:r w:rsidRPr="000F52B8">
        <w:rPr>
          <w:color w:val="C00000"/>
        </w:rPr>
        <w:t>R-2</w:t>
      </w:r>
      <w:r w:rsidRPr="000F52B8">
        <w:t>,</w:t>
      </w:r>
    </w:p>
    <w:p w14:paraId="55A76270" w14:textId="77777777" w:rsidR="00E930BB" w:rsidRPr="000F52B8" w:rsidRDefault="00E930BB" w:rsidP="00E930BB">
      <w:pPr>
        <w:spacing w:after="40"/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R-1,i</w:t>
      </w:r>
      <w:r w:rsidRPr="000F52B8">
        <w:rPr>
          <w:color w:val="C00000"/>
        </w:rPr>
        <w:t xml:space="preserve"> </w:t>
      </w:r>
      <w:r w:rsidRPr="000F52B8">
        <w:tab/>
        <w:t xml:space="preserve">finanční prostředky spočtené dle PRFP pro rozpočtový rok </w:t>
      </w:r>
      <w:r w:rsidRPr="000F52B8">
        <w:rPr>
          <w:color w:val="C00000"/>
        </w:rPr>
        <w:t>R-1</w:t>
      </w:r>
      <w:r w:rsidRPr="000F52B8">
        <w:t>,</w:t>
      </w:r>
    </w:p>
    <w:p w14:paraId="117851A9" w14:textId="77777777" w:rsidR="00E930BB" w:rsidRPr="000F52B8" w:rsidRDefault="00E930BB" w:rsidP="00E930BB">
      <w:pPr>
        <w:ind w:left="567" w:hanging="567"/>
        <w:jc w:val="both"/>
      </w:pP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R,i</w:t>
      </w:r>
      <w:r w:rsidRPr="000F52B8">
        <w:rPr>
          <w:color w:val="C00000"/>
        </w:rPr>
        <w:t xml:space="preserve"> </w:t>
      </w:r>
      <w:r w:rsidRPr="000F52B8">
        <w:rPr>
          <w:color w:val="C00000"/>
          <w:vertAlign w:val="subscript"/>
        </w:rPr>
        <w:tab/>
      </w:r>
      <w:r w:rsidRPr="000F52B8">
        <w:t xml:space="preserve">finanční prostředky spočtené dle PRFP pro rozpočtový rok </w:t>
      </w:r>
      <w:r w:rsidRPr="000F52B8">
        <w:rPr>
          <w:color w:val="C00000"/>
        </w:rPr>
        <w:t>R</w:t>
      </w:r>
      <w:r w:rsidRPr="000F52B8">
        <w:t>.</w:t>
      </w:r>
    </w:p>
    <w:p w14:paraId="4FE1743F" w14:textId="4BDD18CD" w:rsidR="00E930BB" w:rsidRPr="000F52B8" w:rsidRDefault="00E930BB" w:rsidP="00E930BB">
      <w:pPr>
        <w:jc w:val="both"/>
      </w:pPr>
      <w:r w:rsidRPr="000F52B8">
        <w:t>Pro rok 2026 a další platí, že:</w:t>
      </w:r>
      <w:r w:rsidRPr="000F52B8">
        <w:rPr>
          <w:color w:val="C00000"/>
        </w:rPr>
        <w:t xml:space="preserve"> FU</w:t>
      </w:r>
      <w:r w:rsidRPr="000F52B8">
        <w:rPr>
          <w:color w:val="C00000"/>
          <w:vertAlign w:val="subscript"/>
        </w:rPr>
        <w:t>R-</w:t>
      </w:r>
      <w:proofErr w:type="gramStart"/>
      <w:r w:rsidRPr="000F52B8">
        <w:rPr>
          <w:color w:val="C00000"/>
          <w:vertAlign w:val="subscript"/>
        </w:rPr>
        <w:t>2,i</w:t>
      </w:r>
      <w:proofErr w:type="gramEnd"/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="000479BB" w:rsidRPr="000F52B8">
        <w:rPr>
          <w:color w:val="C00000"/>
        </w:rPr>
        <w:t>C</w:t>
      </w:r>
      <w:r w:rsidRPr="000F52B8">
        <w:rPr>
          <w:color w:val="C00000"/>
          <w:vertAlign w:val="subscript"/>
        </w:rPr>
        <w:t>R-2,i</w:t>
      </w:r>
      <w:r w:rsidRPr="000F52B8">
        <w:t xml:space="preserve">, </w:t>
      </w: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R-1,i</w:t>
      </w:r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="000479BB" w:rsidRPr="000F52B8">
        <w:rPr>
          <w:color w:val="C00000"/>
        </w:rPr>
        <w:t>C</w:t>
      </w:r>
      <w:r w:rsidRPr="000F52B8">
        <w:rPr>
          <w:color w:val="C00000"/>
          <w:vertAlign w:val="subscript"/>
        </w:rPr>
        <w:t>R-1,i</w:t>
      </w:r>
      <w:r w:rsidRPr="000F52B8">
        <w:t xml:space="preserve">, </w:t>
      </w:r>
      <w:r w:rsidRPr="000F52B8">
        <w:rPr>
          <w:color w:val="C00000"/>
        </w:rPr>
        <w:t>FU</w:t>
      </w:r>
      <w:r w:rsidRPr="000F52B8">
        <w:rPr>
          <w:color w:val="C00000"/>
          <w:vertAlign w:val="subscript"/>
        </w:rPr>
        <w:t>R,i</w:t>
      </w:r>
      <w:r w:rsidRPr="000F52B8">
        <w:rPr>
          <w:color w:val="C00000"/>
        </w:rPr>
        <w:t xml:space="preserve"> </w:t>
      </w:r>
      <w:r w:rsidRPr="000F52B8">
        <w:t>=</w:t>
      </w:r>
      <w:r w:rsidRPr="000F52B8">
        <w:rPr>
          <w:color w:val="C00000"/>
        </w:rPr>
        <w:t xml:space="preserve"> FU</w:t>
      </w:r>
      <w:r w:rsidR="000479BB" w:rsidRPr="000F52B8">
        <w:rPr>
          <w:color w:val="C00000"/>
        </w:rPr>
        <w:t>C</w:t>
      </w:r>
      <w:r w:rsidRPr="000F52B8">
        <w:rPr>
          <w:color w:val="C00000"/>
          <w:vertAlign w:val="subscript"/>
        </w:rPr>
        <w:t>R,i</w:t>
      </w:r>
      <w:r w:rsidRPr="000F52B8">
        <w:t xml:space="preserve">. Koeficienty </w:t>
      </w:r>
      <w:r w:rsidRPr="000F52B8">
        <w:rPr>
          <w:color w:val="C00000"/>
        </w:rPr>
        <w:t>k</w:t>
      </w:r>
      <w:r w:rsidRPr="000F52B8">
        <w:rPr>
          <w:color w:val="C00000"/>
          <w:vertAlign w:val="subscript"/>
        </w:rPr>
        <w:t>R</w:t>
      </w:r>
      <w:r w:rsidRPr="000F52B8">
        <w:t xml:space="preserve">, </w:t>
      </w:r>
      <w:r w:rsidRPr="000F52B8">
        <w:rPr>
          <w:color w:val="C00000"/>
        </w:rPr>
        <w:t>k</w:t>
      </w:r>
      <w:r w:rsidRPr="000F52B8">
        <w:rPr>
          <w:color w:val="C00000"/>
          <w:vertAlign w:val="subscript"/>
        </w:rPr>
        <w:t>R-1</w:t>
      </w:r>
      <w:r w:rsidR="004D60C6" w:rsidRPr="000F52B8">
        <w:rPr>
          <w:color w:val="C00000"/>
          <w:vertAlign w:val="subscript"/>
        </w:rPr>
        <w:t xml:space="preserve"> </w:t>
      </w:r>
      <w:r w:rsidRPr="000F52B8">
        <w:t xml:space="preserve">a </w:t>
      </w:r>
      <w:r w:rsidRPr="000F52B8">
        <w:rPr>
          <w:color w:val="C00000"/>
        </w:rPr>
        <w:t>k</w:t>
      </w:r>
      <w:r w:rsidRPr="000F52B8">
        <w:rPr>
          <w:color w:val="C00000"/>
          <w:vertAlign w:val="subscript"/>
        </w:rPr>
        <w:t>R-2</w:t>
      </w:r>
      <w:r w:rsidRPr="000F52B8">
        <w:t xml:space="preserve"> pak vyjadřují váhu započítání finančních prostředků z </w:t>
      </w:r>
      <w:r w:rsidR="00825294" w:rsidRPr="000F52B8">
        <w:t>příslušných</w:t>
      </w:r>
      <w:r w:rsidRPr="000F52B8">
        <w:t xml:space="preserve"> rozpočtových roků.</w:t>
      </w:r>
    </w:p>
    <w:p w14:paraId="1735630A" w14:textId="07B84F4F" w:rsidR="00E930BB" w:rsidRDefault="00E930BB" w:rsidP="00E930BB">
      <w:pPr>
        <w:jc w:val="both"/>
      </w:pPr>
      <w:r w:rsidRPr="000F52B8">
        <w:rPr>
          <w:spacing w:val="-2"/>
        </w:rPr>
        <w:t>Finanční prostředky spočtené pro jednotlivé ústavy dle výše uvedeného vzorce budou zpětně přepočteny</w:t>
      </w:r>
      <w:r w:rsidRPr="000F52B8">
        <w:t xml:space="preserve"> poměrově tak, aby suma prostředků rozdělená všem ústavům odpovídala ve své výši částce, která bude pro aktuální rozpočtový rok </w:t>
      </w:r>
      <w:r w:rsidRPr="000F52B8">
        <w:rPr>
          <w:color w:val="C00000"/>
        </w:rPr>
        <w:t>R</w:t>
      </w:r>
      <w:r w:rsidRPr="000F52B8">
        <w:t xml:space="preserve"> přidělena ústavům (</w:t>
      </w:r>
      <w:r w:rsidRPr="000F52B8">
        <w:rPr>
          <w:color w:val="C00000"/>
        </w:rPr>
        <w:t>FU</w:t>
      </w:r>
      <w:r w:rsidR="000479BB" w:rsidRPr="000F52B8">
        <w:rPr>
          <w:color w:val="C00000"/>
        </w:rPr>
        <w:t>C</w:t>
      </w:r>
      <w:r w:rsidRPr="000F52B8">
        <w:rPr>
          <w:color w:val="C00000"/>
          <w:vertAlign w:val="subscript"/>
        </w:rPr>
        <w:t>R</w:t>
      </w:r>
      <w:r w:rsidRPr="000F52B8">
        <w:t>).</w:t>
      </w:r>
    </w:p>
    <w:p w14:paraId="76253B6A" w14:textId="77777777" w:rsidR="00DE42AA" w:rsidRPr="0065700C" w:rsidRDefault="00DE42AA" w:rsidP="0065700C">
      <w:pPr>
        <w:rPr>
          <w:b/>
          <w:color w:val="C00000"/>
          <w:spacing w:val="11"/>
        </w:rPr>
      </w:pPr>
    </w:p>
    <w:sectPr w:rsidR="00DE42AA" w:rsidRPr="0065700C" w:rsidSect="007154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FE2A" w14:textId="77777777" w:rsidR="00FA5B87" w:rsidRDefault="00FA5B87" w:rsidP="005C53AE">
      <w:r>
        <w:separator/>
      </w:r>
    </w:p>
  </w:endnote>
  <w:endnote w:type="continuationSeparator" w:id="0">
    <w:p w14:paraId="6829FDB8" w14:textId="77777777" w:rsidR="00FA5B87" w:rsidRDefault="00FA5B87" w:rsidP="005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221C" w14:textId="77777777" w:rsidR="0078768F" w:rsidRPr="00316CAC" w:rsidRDefault="0078768F" w:rsidP="00316CAC">
    <w:pPr>
      <w:pStyle w:val="Zpat"/>
      <w:jc w:val="center"/>
      <w:rPr>
        <w:color w:val="0070C0"/>
        <w:sz w:val="16"/>
        <w:szCs w:val="16"/>
      </w:rPr>
    </w:pPr>
    <w:r w:rsidRPr="00316CAC">
      <w:rPr>
        <w:color w:val="0070C0"/>
        <w:sz w:val="16"/>
        <w:szCs w:val="16"/>
      </w:rPr>
      <w:t>–</w:t>
    </w:r>
    <w:sdt>
      <w:sdtPr>
        <w:rPr>
          <w:color w:val="0070C0"/>
          <w:sz w:val="16"/>
          <w:szCs w:val="16"/>
        </w:rPr>
        <w:id w:val="1593504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0C0"/>
              <w:sz w:val="16"/>
              <w:szCs w:val="16"/>
            </w:rPr>
            <w:id w:val="160367424"/>
            <w:docPartObj>
              <w:docPartGallery w:val="Page Numbers (Top of Page)"/>
              <w:docPartUnique/>
            </w:docPartObj>
          </w:sdtPr>
          <w:sdtEndPr/>
          <w:sdtContent>
            <w:r w:rsidRPr="00316CAC">
              <w:rPr>
                <w:color w:val="0070C0"/>
                <w:sz w:val="16"/>
                <w:szCs w:val="16"/>
              </w:rPr>
              <w:t xml:space="preserve"> 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PAGE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0259A5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 xml:space="preserve"> (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NUMPAGES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0259A5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>) –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DCCD" w14:textId="452184C1" w:rsidR="0078768F" w:rsidRPr="00387A29" w:rsidRDefault="0001674C" w:rsidP="0001674C">
    <w:pPr>
      <w:pStyle w:val="Zpat"/>
      <w:tabs>
        <w:tab w:val="clear" w:pos="9072"/>
        <w:tab w:val="right" w:pos="9070"/>
      </w:tabs>
      <w:rPr>
        <w:color w:val="C00000"/>
        <w:sz w:val="16"/>
        <w:szCs w:val="16"/>
      </w:rPr>
    </w:pPr>
    <w:r>
      <w:rPr>
        <w:color w:val="C00000"/>
        <w:sz w:val="16"/>
        <w:szCs w:val="16"/>
      </w:rPr>
      <w:tab/>
    </w:r>
    <w:r w:rsidR="0078768F" w:rsidRPr="00387A29">
      <w:rPr>
        <w:color w:val="C00000"/>
        <w:sz w:val="16"/>
        <w:szCs w:val="16"/>
      </w:rPr>
      <w:t xml:space="preserve">– </w:t>
    </w:r>
    <w:sdt>
      <w:sdtPr>
        <w:rPr>
          <w:color w:val="C00000"/>
          <w:sz w:val="16"/>
          <w:szCs w:val="16"/>
        </w:rPr>
        <w:id w:val="-13383743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C00000"/>
              <w:sz w:val="16"/>
              <w:szCs w:val="16"/>
            </w:rPr>
            <w:id w:val="607702192"/>
            <w:docPartObj>
              <w:docPartGallery w:val="Page Numbers (Top of Page)"/>
              <w:docPartUnique/>
            </w:docPartObj>
          </w:sdtPr>
          <w:sdtEndPr/>
          <w:sdtContent>
            <w:r w:rsidR="0078768F" w:rsidRPr="00387A29">
              <w:rPr>
                <w:color w:val="C00000"/>
                <w:sz w:val="16"/>
                <w:szCs w:val="16"/>
              </w:rPr>
              <w:fldChar w:fldCharType="begin"/>
            </w:r>
            <w:r w:rsidR="0078768F" w:rsidRPr="00387A29">
              <w:rPr>
                <w:color w:val="C00000"/>
                <w:sz w:val="16"/>
                <w:szCs w:val="16"/>
              </w:rPr>
              <w:instrText>PAGE</w:instrText>
            </w:r>
            <w:r w:rsidR="0078768F" w:rsidRPr="00387A29">
              <w:rPr>
                <w:color w:val="C00000"/>
                <w:sz w:val="16"/>
                <w:szCs w:val="16"/>
              </w:rPr>
              <w:fldChar w:fldCharType="separate"/>
            </w:r>
            <w:r w:rsidR="002C0A49" w:rsidRPr="00387A29">
              <w:rPr>
                <w:noProof/>
                <w:color w:val="C00000"/>
                <w:sz w:val="16"/>
                <w:szCs w:val="16"/>
              </w:rPr>
              <w:t>1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end"/>
            </w:r>
            <w:r w:rsidR="0078768F" w:rsidRPr="00387A29">
              <w:rPr>
                <w:color w:val="C00000"/>
                <w:sz w:val="16"/>
                <w:szCs w:val="16"/>
              </w:rPr>
              <w:t xml:space="preserve"> (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begin"/>
            </w:r>
            <w:r w:rsidR="0078768F" w:rsidRPr="00387A29">
              <w:rPr>
                <w:color w:val="C00000"/>
                <w:sz w:val="16"/>
                <w:szCs w:val="16"/>
              </w:rPr>
              <w:instrText>NUMPAGES</w:instrText>
            </w:r>
            <w:r w:rsidR="0078768F" w:rsidRPr="00387A29">
              <w:rPr>
                <w:color w:val="C00000"/>
                <w:sz w:val="16"/>
                <w:szCs w:val="16"/>
              </w:rPr>
              <w:fldChar w:fldCharType="separate"/>
            </w:r>
            <w:r w:rsidR="002C0A49" w:rsidRPr="00387A29">
              <w:rPr>
                <w:noProof/>
                <w:color w:val="C00000"/>
                <w:sz w:val="16"/>
                <w:szCs w:val="16"/>
              </w:rPr>
              <w:t>1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end"/>
            </w:r>
            <w:r w:rsidR="0078768F" w:rsidRPr="00387A29">
              <w:rPr>
                <w:color w:val="C00000"/>
                <w:sz w:val="16"/>
                <w:szCs w:val="16"/>
              </w:rPr>
              <w:t>) –</w:t>
            </w:r>
            <w:r>
              <w:rPr>
                <w:color w:val="C00000"/>
                <w:sz w:val="16"/>
                <w:szCs w:val="16"/>
              </w:rPr>
              <w:tab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F81D" w14:textId="77777777" w:rsidR="0078768F" w:rsidRPr="00316CAC" w:rsidRDefault="0078768F" w:rsidP="00316CAC">
    <w:pPr>
      <w:pStyle w:val="Zpat"/>
      <w:jc w:val="center"/>
      <w:rPr>
        <w:color w:val="0070C0"/>
        <w:sz w:val="16"/>
        <w:szCs w:val="16"/>
      </w:rPr>
    </w:pPr>
    <w:r w:rsidRPr="00316CAC">
      <w:rPr>
        <w:color w:val="0070C0"/>
        <w:sz w:val="16"/>
        <w:szCs w:val="16"/>
      </w:rPr>
      <w:t xml:space="preserve">– </w:t>
    </w:r>
    <w:sdt>
      <w:sdtPr>
        <w:rPr>
          <w:color w:val="0070C0"/>
          <w:sz w:val="16"/>
          <w:szCs w:val="16"/>
        </w:rPr>
        <w:id w:val="-623156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0C0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PAGE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C90C4B">
              <w:rPr>
                <w:noProof/>
                <w:color w:val="0070C0"/>
                <w:sz w:val="16"/>
                <w:szCs w:val="16"/>
              </w:rPr>
              <w:t>1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 xml:space="preserve"> (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NUMPAGES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9F0A5F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>) –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3C7D" w14:textId="77777777" w:rsidR="00FA5B87" w:rsidRDefault="00FA5B87" w:rsidP="005C53AE">
      <w:r>
        <w:separator/>
      </w:r>
    </w:p>
  </w:footnote>
  <w:footnote w:type="continuationSeparator" w:id="0">
    <w:p w14:paraId="56CCBCAF" w14:textId="77777777" w:rsidR="00FA5B87" w:rsidRDefault="00FA5B87" w:rsidP="005C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AE21" w14:textId="77777777" w:rsidR="00680E22" w:rsidRDefault="00680E22" w:rsidP="00680E22">
    <w:pPr>
      <w:pBdr>
        <w:bottom w:val="single" w:sz="4" w:space="4" w:color="C00000"/>
      </w:pBdr>
      <w:spacing w:after="240"/>
      <w:jc w:val="center"/>
      <w:rPr>
        <w:bCs/>
        <w:color w:val="C00000"/>
        <w:spacing w:val="10"/>
        <w:sz w:val="24"/>
        <w:szCs w:val="24"/>
      </w:rPr>
    </w:pPr>
    <w:bookmarkStart w:id="0" w:name="_Hlk134726830"/>
    <w:bookmarkStart w:id="1" w:name="_Hlk134726831"/>
    <w:r w:rsidRPr="00E32538">
      <w:rPr>
        <w:bCs/>
        <w:color w:val="C00000"/>
        <w:spacing w:val="10"/>
        <w:sz w:val="24"/>
        <w:szCs w:val="24"/>
      </w:rPr>
      <w:t>PRAVIDLA ROZDĚLOVÁNÍ FINANČNÍCH PROSTŘEDKŮ NA FAST VUT BRNĚ V ROCE 2024</w:t>
    </w:r>
    <w:bookmarkEnd w:id="0"/>
    <w:bookmarkEnd w:id="1"/>
  </w:p>
  <w:p w14:paraId="7B2D0CFD" w14:textId="77777777" w:rsidR="0065700C" w:rsidRPr="00F54DCB" w:rsidRDefault="0065700C" w:rsidP="00F54DCB">
    <w:pPr>
      <w:spacing w:after="0"/>
      <w:jc w:val="right"/>
      <w:rPr>
        <w:color w:val="C00000"/>
        <w:sz w:val="24"/>
        <w:szCs w:val="20"/>
      </w:rPr>
    </w:pPr>
    <w:r w:rsidRPr="00F54DCB">
      <w:rPr>
        <w:color w:val="C00000"/>
        <w:sz w:val="24"/>
        <w:szCs w:val="20"/>
      </w:rPr>
      <w:t xml:space="preserve">Příloha č. </w:t>
    </w:r>
    <w:r w:rsidR="00E930BB" w:rsidRPr="00F54DCB">
      <w:rPr>
        <w:color w:val="C00000"/>
        <w:sz w:val="24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8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62DD6"/>
    <w:multiLevelType w:val="hybridMultilevel"/>
    <w:tmpl w:val="66EA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AA8"/>
    <w:multiLevelType w:val="hybridMultilevel"/>
    <w:tmpl w:val="C6A67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F15"/>
    <w:multiLevelType w:val="hybridMultilevel"/>
    <w:tmpl w:val="1E9EE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908"/>
    <w:multiLevelType w:val="multilevel"/>
    <w:tmpl w:val="A718F7E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A16E2"/>
    <w:multiLevelType w:val="hybridMultilevel"/>
    <w:tmpl w:val="0ACC6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296D"/>
    <w:multiLevelType w:val="hybridMultilevel"/>
    <w:tmpl w:val="3FE83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D23"/>
    <w:multiLevelType w:val="hybridMultilevel"/>
    <w:tmpl w:val="BDD8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400F"/>
    <w:multiLevelType w:val="hybridMultilevel"/>
    <w:tmpl w:val="3BC6968C"/>
    <w:lvl w:ilvl="0" w:tplc="F57C2212">
      <w:start w:val="1"/>
      <w:numFmt w:val="decimal"/>
      <w:pStyle w:val="Nadpis3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62E0"/>
    <w:multiLevelType w:val="hybridMultilevel"/>
    <w:tmpl w:val="46BAC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2AB9"/>
    <w:multiLevelType w:val="multilevel"/>
    <w:tmpl w:val="5270EE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370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91116F"/>
    <w:multiLevelType w:val="multilevel"/>
    <w:tmpl w:val="97285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183683"/>
    <w:multiLevelType w:val="multilevel"/>
    <w:tmpl w:val="1A94F75A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AD90C44"/>
    <w:multiLevelType w:val="hybridMultilevel"/>
    <w:tmpl w:val="8DCA0D64"/>
    <w:lvl w:ilvl="0" w:tplc="19D695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045D"/>
    <w:multiLevelType w:val="hybridMultilevel"/>
    <w:tmpl w:val="45121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178A"/>
    <w:multiLevelType w:val="multilevel"/>
    <w:tmpl w:val="A776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7E44B8"/>
    <w:multiLevelType w:val="hybridMultilevel"/>
    <w:tmpl w:val="8132D840"/>
    <w:lvl w:ilvl="0" w:tplc="F2E4B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C27A2"/>
    <w:multiLevelType w:val="hybridMultilevel"/>
    <w:tmpl w:val="6DCEE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3"/>
  </w:num>
  <w:num w:numId="5">
    <w:abstractNumId w:val="0"/>
  </w:num>
  <w:num w:numId="6">
    <w:abstractNumId w:val="13"/>
  </w:num>
  <w:num w:numId="7">
    <w:abstractNumId w:val="11"/>
  </w:num>
  <w:num w:numId="8">
    <w:abstractNumId w:val="11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4"/>
  </w:num>
  <w:num w:numId="24">
    <w:abstractNumId w:val="2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6"/>
  </w:num>
  <w:num w:numId="36">
    <w:abstractNumId w:val="4"/>
  </w:num>
  <w:num w:numId="37">
    <w:abstractNumId w:val="4"/>
  </w:num>
  <w:num w:numId="38">
    <w:abstractNumId w:val="4"/>
  </w:num>
  <w:num w:numId="39">
    <w:abstractNumId w:val="3"/>
  </w:num>
  <w:num w:numId="40">
    <w:abstractNumId w:val="12"/>
  </w:num>
  <w:num w:numId="41">
    <w:abstractNumId w:val="17"/>
  </w:num>
  <w:num w:numId="42">
    <w:abstractNumId w:val="16"/>
  </w:num>
  <w:num w:numId="43">
    <w:abstractNumId w:val="1"/>
  </w:num>
  <w:num w:numId="44">
    <w:abstractNumId w:val="5"/>
  </w:num>
  <w:num w:numId="45">
    <w:abstractNumId w:val="9"/>
  </w:num>
  <w:num w:numId="46">
    <w:abstractNumId w:val="10"/>
  </w:num>
  <w:num w:numId="47">
    <w:abstractNumId w:val="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E"/>
    <w:rsid w:val="0001674C"/>
    <w:rsid w:val="000259A5"/>
    <w:rsid w:val="0004540F"/>
    <w:rsid w:val="000479BB"/>
    <w:rsid w:val="00052CCC"/>
    <w:rsid w:val="0005730D"/>
    <w:rsid w:val="0006614F"/>
    <w:rsid w:val="00071BB1"/>
    <w:rsid w:val="00075167"/>
    <w:rsid w:val="0008273C"/>
    <w:rsid w:val="00082A70"/>
    <w:rsid w:val="00084CB2"/>
    <w:rsid w:val="00096399"/>
    <w:rsid w:val="000A119C"/>
    <w:rsid w:val="000B2791"/>
    <w:rsid w:val="000B2ECF"/>
    <w:rsid w:val="000B50B6"/>
    <w:rsid w:val="000C4446"/>
    <w:rsid w:val="000E20E1"/>
    <w:rsid w:val="000F3B3C"/>
    <w:rsid w:val="000F52B8"/>
    <w:rsid w:val="000F61DA"/>
    <w:rsid w:val="00105CDF"/>
    <w:rsid w:val="0010770E"/>
    <w:rsid w:val="001168EC"/>
    <w:rsid w:val="00135E56"/>
    <w:rsid w:val="00167B51"/>
    <w:rsid w:val="0019005A"/>
    <w:rsid w:val="001A0D53"/>
    <w:rsid w:val="001E1A06"/>
    <w:rsid w:val="001E4787"/>
    <w:rsid w:val="00211DF6"/>
    <w:rsid w:val="00214BE8"/>
    <w:rsid w:val="0022749C"/>
    <w:rsid w:val="00227991"/>
    <w:rsid w:val="00232DA4"/>
    <w:rsid w:val="0025715E"/>
    <w:rsid w:val="00260B92"/>
    <w:rsid w:val="002754A9"/>
    <w:rsid w:val="002776AC"/>
    <w:rsid w:val="0028785B"/>
    <w:rsid w:val="002908B7"/>
    <w:rsid w:val="00293153"/>
    <w:rsid w:val="00295FC6"/>
    <w:rsid w:val="002B12C9"/>
    <w:rsid w:val="002B5B1E"/>
    <w:rsid w:val="002C0A49"/>
    <w:rsid w:val="002C5F52"/>
    <w:rsid w:val="002E495F"/>
    <w:rsid w:val="002F31ED"/>
    <w:rsid w:val="0031354B"/>
    <w:rsid w:val="00316CAC"/>
    <w:rsid w:val="00342BE3"/>
    <w:rsid w:val="003445F7"/>
    <w:rsid w:val="003651A5"/>
    <w:rsid w:val="00370389"/>
    <w:rsid w:val="00387A29"/>
    <w:rsid w:val="003C3914"/>
    <w:rsid w:val="003C40D0"/>
    <w:rsid w:val="003C7782"/>
    <w:rsid w:val="003D6BB0"/>
    <w:rsid w:val="003E6768"/>
    <w:rsid w:val="003F28B7"/>
    <w:rsid w:val="00420E9F"/>
    <w:rsid w:val="004638D1"/>
    <w:rsid w:val="004B4D6F"/>
    <w:rsid w:val="004D572C"/>
    <w:rsid w:val="004D60C6"/>
    <w:rsid w:val="00510B06"/>
    <w:rsid w:val="0052635C"/>
    <w:rsid w:val="005312B5"/>
    <w:rsid w:val="0053230D"/>
    <w:rsid w:val="0056090D"/>
    <w:rsid w:val="00573D24"/>
    <w:rsid w:val="00585644"/>
    <w:rsid w:val="00585F2C"/>
    <w:rsid w:val="00591A92"/>
    <w:rsid w:val="005A747C"/>
    <w:rsid w:val="005B26AB"/>
    <w:rsid w:val="005B42F1"/>
    <w:rsid w:val="005B7979"/>
    <w:rsid w:val="005C2256"/>
    <w:rsid w:val="005C48E2"/>
    <w:rsid w:val="005C53AE"/>
    <w:rsid w:val="005F302B"/>
    <w:rsid w:val="005F3EB8"/>
    <w:rsid w:val="005F42B3"/>
    <w:rsid w:val="005F4736"/>
    <w:rsid w:val="00612898"/>
    <w:rsid w:val="006226C1"/>
    <w:rsid w:val="00634301"/>
    <w:rsid w:val="00654E95"/>
    <w:rsid w:val="0065700C"/>
    <w:rsid w:val="00680E22"/>
    <w:rsid w:val="00692F01"/>
    <w:rsid w:val="0069579B"/>
    <w:rsid w:val="006C66A2"/>
    <w:rsid w:val="006D5675"/>
    <w:rsid w:val="00711186"/>
    <w:rsid w:val="0071542E"/>
    <w:rsid w:val="00724E1A"/>
    <w:rsid w:val="00730F91"/>
    <w:rsid w:val="00735ABE"/>
    <w:rsid w:val="0075109C"/>
    <w:rsid w:val="00754372"/>
    <w:rsid w:val="00765A80"/>
    <w:rsid w:val="00782985"/>
    <w:rsid w:val="0078359A"/>
    <w:rsid w:val="00785A42"/>
    <w:rsid w:val="0078768F"/>
    <w:rsid w:val="007B7ED6"/>
    <w:rsid w:val="007C7723"/>
    <w:rsid w:val="00801AEA"/>
    <w:rsid w:val="0082354D"/>
    <w:rsid w:val="00825294"/>
    <w:rsid w:val="00831322"/>
    <w:rsid w:val="00844373"/>
    <w:rsid w:val="00846DEC"/>
    <w:rsid w:val="00856A36"/>
    <w:rsid w:val="00876CB2"/>
    <w:rsid w:val="00890C21"/>
    <w:rsid w:val="008B113A"/>
    <w:rsid w:val="00927515"/>
    <w:rsid w:val="00931343"/>
    <w:rsid w:val="00945556"/>
    <w:rsid w:val="009629AA"/>
    <w:rsid w:val="0096507B"/>
    <w:rsid w:val="00975B9B"/>
    <w:rsid w:val="009917F6"/>
    <w:rsid w:val="009B33B2"/>
    <w:rsid w:val="009C2783"/>
    <w:rsid w:val="009C4734"/>
    <w:rsid w:val="009D1282"/>
    <w:rsid w:val="009D75B0"/>
    <w:rsid w:val="009F0A5F"/>
    <w:rsid w:val="009F7AEF"/>
    <w:rsid w:val="00A02079"/>
    <w:rsid w:val="00A11ED7"/>
    <w:rsid w:val="00A32C56"/>
    <w:rsid w:val="00A33339"/>
    <w:rsid w:val="00A42794"/>
    <w:rsid w:val="00A656FA"/>
    <w:rsid w:val="00A85329"/>
    <w:rsid w:val="00A87CE1"/>
    <w:rsid w:val="00AB30AE"/>
    <w:rsid w:val="00AC6C52"/>
    <w:rsid w:val="00AD32DB"/>
    <w:rsid w:val="00B74FD3"/>
    <w:rsid w:val="00BA7B94"/>
    <w:rsid w:val="00BC070F"/>
    <w:rsid w:val="00BC76B4"/>
    <w:rsid w:val="00BE0F7E"/>
    <w:rsid w:val="00C121BF"/>
    <w:rsid w:val="00C1621B"/>
    <w:rsid w:val="00C270CA"/>
    <w:rsid w:val="00C45653"/>
    <w:rsid w:val="00C57F76"/>
    <w:rsid w:val="00C7228D"/>
    <w:rsid w:val="00C76E8C"/>
    <w:rsid w:val="00C7746E"/>
    <w:rsid w:val="00C8048A"/>
    <w:rsid w:val="00C80578"/>
    <w:rsid w:val="00C84965"/>
    <w:rsid w:val="00C90C4B"/>
    <w:rsid w:val="00CD4812"/>
    <w:rsid w:val="00CE41BC"/>
    <w:rsid w:val="00D26CC6"/>
    <w:rsid w:val="00D4037F"/>
    <w:rsid w:val="00D41D1C"/>
    <w:rsid w:val="00D42D68"/>
    <w:rsid w:val="00D64F20"/>
    <w:rsid w:val="00D87694"/>
    <w:rsid w:val="00D95B4E"/>
    <w:rsid w:val="00D965F9"/>
    <w:rsid w:val="00D96B61"/>
    <w:rsid w:val="00D97561"/>
    <w:rsid w:val="00DA60E6"/>
    <w:rsid w:val="00DB52C4"/>
    <w:rsid w:val="00DC1543"/>
    <w:rsid w:val="00DC26C7"/>
    <w:rsid w:val="00DD0677"/>
    <w:rsid w:val="00DE0579"/>
    <w:rsid w:val="00DE42AA"/>
    <w:rsid w:val="00DE4C53"/>
    <w:rsid w:val="00E11A46"/>
    <w:rsid w:val="00E33087"/>
    <w:rsid w:val="00E372BB"/>
    <w:rsid w:val="00E40829"/>
    <w:rsid w:val="00E466A9"/>
    <w:rsid w:val="00E46843"/>
    <w:rsid w:val="00E50E9C"/>
    <w:rsid w:val="00E5223B"/>
    <w:rsid w:val="00E53F2E"/>
    <w:rsid w:val="00E54EEA"/>
    <w:rsid w:val="00E56EEB"/>
    <w:rsid w:val="00E761AD"/>
    <w:rsid w:val="00E81A24"/>
    <w:rsid w:val="00E930BB"/>
    <w:rsid w:val="00EA4F5E"/>
    <w:rsid w:val="00EA7C79"/>
    <w:rsid w:val="00EC3DD9"/>
    <w:rsid w:val="00EC5692"/>
    <w:rsid w:val="00EE2190"/>
    <w:rsid w:val="00F04BD0"/>
    <w:rsid w:val="00F47961"/>
    <w:rsid w:val="00F54DCB"/>
    <w:rsid w:val="00F703D9"/>
    <w:rsid w:val="00F750FA"/>
    <w:rsid w:val="00F83448"/>
    <w:rsid w:val="00F87743"/>
    <w:rsid w:val="00F939A7"/>
    <w:rsid w:val="00FA5B87"/>
    <w:rsid w:val="00FB211C"/>
    <w:rsid w:val="00FC3029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7AD0"/>
  <w15:chartTrackingRefBased/>
  <w15:docId w15:val="{B0480135-A5C4-4FB3-9A79-DF9F7BC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3AE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82354D"/>
    <w:pPr>
      <w:keepNext/>
      <w:keepLines/>
      <w:numPr>
        <w:numId w:val="10"/>
      </w:numPr>
      <w:spacing w:before="240"/>
      <w:ind w:left="709" w:hanging="709"/>
      <w:jc w:val="both"/>
      <w:outlineLvl w:val="0"/>
    </w:pPr>
    <w:rPr>
      <w:rFonts w:asciiTheme="majorHAnsi" w:eastAsiaTheme="majorEastAsia" w:hAnsiTheme="majorHAnsi" w:cstheme="majorBidi"/>
      <w:color w:val="2D73B4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unhideWhenUsed/>
    <w:qFormat/>
    <w:rsid w:val="0082354D"/>
    <w:pPr>
      <w:numPr>
        <w:ilvl w:val="1"/>
      </w:numPr>
      <w:ind w:left="709" w:hanging="709"/>
      <w:outlineLvl w:val="1"/>
    </w:pPr>
    <w:rPr>
      <w:rFonts w:cstheme="majorHAnsi"/>
      <w:sz w:val="24"/>
    </w:rPr>
  </w:style>
  <w:style w:type="paragraph" w:styleId="Nadpis3">
    <w:name w:val="heading 3"/>
    <w:basedOn w:val="Odstavecseseznamem"/>
    <w:next w:val="Normln"/>
    <w:link w:val="Nadpis3Char"/>
    <w:uiPriority w:val="99"/>
    <w:unhideWhenUsed/>
    <w:qFormat/>
    <w:rsid w:val="009B33B2"/>
    <w:pPr>
      <w:numPr>
        <w:numId w:val="1"/>
      </w:numPr>
      <w:spacing w:before="120"/>
      <w:contextualSpacing w:val="0"/>
      <w:outlineLvl w:val="2"/>
    </w:pPr>
    <w:rPr>
      <w:color w:val="0070C0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E930BB"/>
    <w:pPr>
      <w:keepNext/>
      <w:keepLines/>
      <w:spacing w:before="240"/>
      <w:ind w:left="709" w:hanging="709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E930BB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930BB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930BB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930BB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930BB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1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354D"/>
    <w:rPr>
      <w:rFonts w:asciiTheme="majorHAnsi" w:eastAsiaTheme="majorEastAsia" w:hAnsiTheme="majorHAnsi" w:cstheme="majorHAnsi"/>
      <w:color w:val="2D73B4"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B33B2"/>
    <w:rPr>
      <w:color w:val="0070C0"/>
    </w:rPr>
  </w:style>
  <w:style w:type="character" w:customStyle="1" w:styleId="Nadpis1Char">
    <w:name w:val="Nadpis 1 Char"/>
    <w:basedOn w:val="Standardnpsmoodstavce"/>
    <w:link w:val="Nadpis1"/>
    <w:uiPriority w:val="9"/>
    <w:rsid w:val="0082354D"/>
    <w:rPr>
      <w:rFonts w:asciiTheme="majorHAnsi" w:eastAsiaTheme="majorEastAsia" w:hAnsiTheme="majorHAnsi" w:cstheme="majorBidi"/>
      <w:color w:val="2D73B4"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0F3B3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3B3C"/>
  </w:style>
  <w:style w:type="paragraph" w:styleId="Zpat">
    <w:name w:val="footer"/>
    <w:basedOn w:val="Normln"/>
    <w:link w:val="ZpatChar"/>
    <w:uiPriority w:val="99"/>
    <w:unhideWhenUsed/>
    <w:rsid w:val="000F3B3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3B3C"/>
  </w:style>
  <w:style w:type="paragraph" w:styleId="Textbubliny">
    <w:name w:val="Balloon Text"/>
    <w:basedOn w:val="Normln"/>
    <w:link w:val="TextbublinyChar"/>
    <w:uiPriority w:val="99"/>
    <w:semiHidden/>
    <w:unhideWhenUsed/>
    <w:rsid w:val="004638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D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A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9"/>
    <w:rsid w:val="00E930BB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9"/>
    <w:rsid w:val="00E930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9"/>
    <w:rsid w:val="00E930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E930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E930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9"/>
    <w:rsid w:val="00E930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52FB-F4FA-4EF9-B1D2-C8412EB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</dc:creator>
  <cp:keywords/>
  <dc:description/>
  <cp:lastModifiedBy>Lenka</cp:lastModifiedBy>
  <cp:revision>2</cp:revision>
  <cp:lastPrinted>2022-11-23T08:43:00Z</cp:lastPrinted>
  <dcterms:created xsi:type="dcterms:W3CDTF">2024-01-10T07:48:00Z</dcterms:created>
  <dcterms:modified xsi:type="dcterms:W3CDTF">2024-01-10T07:48:00Z</dcterms:modified>
</cp:coreProperties>
</file>