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381" w:rsidRPr="008D3381" w:rsidRDefault="008D3381" w:rsidP="008D3381">
      <w:pPr>
        <w:rPr>
          <w:rFonts w:cstheme="minorHAnsi"/>
          <w:b/>
        </w:rPr>
      </w:pPr>
      <w:bookmarkStart w:id="0" w:name="_GoBack"/>
      <w:bookmarkEnd w:id="0"/>
      <w:r w:rsidRPr="008D3381">
        <w:rPr>
          <w:rFonts w:cstheme="minorHAnsi"/>
          <w:b/>
        </w:rPr>
        <w:t>Jandora</w:t>
      </w:r>
    </w:p>
    <w:p w:rsidR="00042379" w:rsidRPr="008C4834" w:rsidRDefault="006D296D" w:rsidP="00042379">
      <w:pPr>
        <w:spacing w:after="240"/>
        <w:ind w:left="567" w:hanging="567"/>
        <w:jc w:val="both"/>
        <w:rPr>
          <w:rFonts w:cstheme="minorHAnsi"/>
        </w:rPr>
      </w:pPr>
      <w:r w:rsidRPr="003C0B8E">
        <w:rPr>
          <w:rFonts w:cstheme="minorHAnsi"/>
        </w:rPr>
        <w:t>1</w:t>
      </w:r>
      <w:r w:rsidR="00E42211" w:rsidRPr="003C0B8E">
        <w:rPr>
          <w:rFonts w:cstheme="minorHAnsi"/>
        </w:rPr>
        <w:t>.</w:t>
      </w:r>
      <w:r w:rsidR="00E42211" w:rsidRPr="003C0B8E">
        <w:rPr>
          <w:rFonts w:cstheme="minorHAnsi"/>
        </w:rPr>
        <w:tab/>
      </w:r>
      <w:r w:rsidR="00042379" w:rsidRPr="008C4834">
        <w:rPr>
          <w:rFonts w:cstheme="minorHAnsi"/>
        </w:rPr>
        <w:t xml:space="preserve">Oproti loňskému roku je mírný propad v zaplacených přihláškách do bakalářského studijního programu </w:t>
      </w:r>
      <w:r w:rsidR="00042379" w:rsidRPr="00042379">
        <w:rPr>
          <w:rFonts w:cstheme="minorHAnsi"/>
          <w:i/>
        </w:rPr>
        <w:t>Architektura pozemních staveb</w:t>
      </w:r>
      <w:r w:rsidR="00042379" w:rsidRPr="008C4834">
        <w:rPr>
          <w:rFonts w:cstheme="minorHAnsi"/>
        </w:rPr>
        <w:t xml:space="preserve"> – viz tabulka níže.</w:t>
      </w:r>
    </w:p>
    <w:p w:rsidR="00042379" w:rsidRPr="009D6A08" w:rsidRDefault="00042379" w:rsidP="00042379">
      <w:pPr>
        <w:spacing w:before="120" w:after="60"/>
        <w:jc w:val="center"/>
        <w:rPr>
          <w:rFonts w:cstheme="minorHAnsi"/>
        </w:rPr>
      </w:pPr>
      <w:r w:rsidRPr="009D6A08">
        <w:rPr>
          <w:rFonts w:cstheme="minorHAnsi"/>
        </w:rPr>
        <w:t xml:space="preserve">Tab. 1 Počty uchazečů do bakalářského studijního programu </w:t>
      </w:r>
      <w:r w:rsidRPr="009D6A08">
        <w:rPr>
          <w:rFonts w:cstheme="minorHAnsi"/>
          <w:i/>
        </w:rPr>
        <w:t>Architektura pozemních staveb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2617"/>
        <w:gridCol w:w="2831"/>
      </w:tblGrid>
      <w:tr w:rsidR="00042379" w:rsidRPr="005853F0" w:rsidTr="005D7B59">
        <w:trPr>
          <w:jc w:val="center"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042379" w:rsidRPr="005853F0" w:rsidRDefault="00042379" w:rsidP="005D7B59">
            <w:r w:rsidRPr="005853F0">
              <w:t>Do akademického roku</w:t>
            </w:r>
          </w:p>
        </w:tc>
        <w:tc>
          <w:tcPr>
            <w:tcW w:w="2617" w:type="dxa"/>
            <w:tcBorders>
              <w:top w:val="single" w:sz="12" w:space="0" w:color="auto"/>
              <w:bottom w:val="double" w:sz="4" w:space="0" w:color="auto"/>
            </w:tcBorders>
          </w:tcPr>
          <w:p w:rsidR="00042379" w:rsidRPr="005853F0" w:rsidRDefault="00042379" w:rsidP="005D7B59">
            <w:r w:rsidRPr="005853F0">
              <w:t>Počet podaných přihlášek</w:t>
            </w:r>
          </w:p>
        </w:tc>
        <w:tc>
          <w:tcPr>
            <w:tcW w:w="283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042379" w:rsidRPr="005853F0" w:rsidRDefault="00042379" w:rsidP="005D7B59">
            <w:r w:rsidRPr="005853F0">
              <w:t>Počet zaplacených přihlášek</w:t>
            </w:r>
          </w:p>
        </w:tc>
      </w:tr>
      <w:tr w:rsidR="00042379" w:rsidRPr="005853F0" w:rsidTr="005D7B59">
        <w:trPr>
          <w:jc w:val="center"/>
        </w:trPr>
        <w:tc>
          <w:tcPr>
            <w:tcW w:w="2381" w:type="dxa"/>
            <w:tcBorders>
              <w:left w:val="single" w:sz="12" w:space="0" w:color="auto"/>
            </w:tcBorders>
          </w:tcPr>
          <w:p w:rsidR="00042379" w:rsidRPr="005853F0" w:rsidRDefault="00042379" w:rsidP="005D7B59">
            <w:r w:rsidRPr="005853F0">
              <w:t>2019–20</w:t>
            </w:r>
          </w:p>
        </w:tc>
        <w:tc>
          <w:tcPr>
            <w:tcW w:w="2617" w:type="dxa"/>
          </w:tcPr>
          <w:p w:rsidR="00042379" w:rsidRPr="005853F0" w:rsidRDefault="00042379" w:rsidP="005D7B59">
            <w:r w:rsidRPr="005853F0">
              <w:t>233</w:t>
            </w:r>
          </w:p>
        </w:tc>
        <w:tc>
          <w:tcPr>
            <w:tcW w:w="2831" w:type="dxa"/>
            <w:tcBorders>
              <w:right w:val="single" w:sz="12" w:space="0" w:color="auto"/>
            </w:tcBorders>
          </w:tcPr>
          <w:p w:rsidR="00042379" w:rsidRPr="005853F0" w:rsidRDefault="00042379" w:rsidP="005D7B59">
            <w:r w:rsidRPr="005853F0">
              <w:t>215</w:t>
            </w:r>
          </w:p>
        </w:tc>
      </w:tr>
      <w:tr w:rsidR="00042379" w:rsidRPr="005853F0" w:rsidTr="005D7B59">
        <w:trPr>
          <w:jc w:val="center"/>
        </w:trPr>
        <w:tc>
          <w:tcPr>
            <w:tcW w:w="2381" w:type="dxa"/>
            <w:tcBorders>
              <w:left w:val="single" w:sz="12" w:space="0" w:color="auto"/>
            </w:tcBorders>
          </w:tcPr>
          <w:p w:rsidR="00042379" w:rsidRPr="005853F0" w:rsidRDefault="00042379" w:rsidP="005D7B59">
            <w:r w:rsidRPr="005853F0">
              <w:t>2020–21</w:t>
            </w:r>
          </w:p>
        </w:tc>
        <w:tc>
          <w:tcPr>
            <w:tcW w:w="2617" w:type="dxa"/>
          </w:tcPr>
          <w:p w:rsidR="00042379" w:rsidRPr="005853F0" w:rsidRDefault="00042379" w:rsidP="005D7B59">
            <w:r w:rsidRPr="005853F0">
              <w:t>255</w:t>
            </w:r>
          </w:p>
        </w:tc>
        <w:tc>
          <w:tcPr>
            <w:tcW w:w="2831" w:type="dxa"/>
            <w:tcBorders>
              <w:right w:val="single" w:sz="12" w:space="0" w:color="auto"/>
            </w:tcBorders>
          </w:tcPr>
          <w:p w:rsidR="00042379" w:rsidRPr="005853F0" w:rsidRDefault="00042379" w:rsidP="005D7B59">
            <w:r w:rsidRPr="005853F0">
              <w:t>224</w:t>
            </w:r>
          </w:p>
        </w:tc>
      </w:tr>
      <w:tr w:rsidR="00042379" w:rsidRPr="005853F0" w:rsidTr="005D7B59">
        <w:trPr>
          <w:jc w:val="center"/>
        </w:trPr>
        <w:tc>
          <w:tcPr>
            <w:tcW w:w="2381" w:type="dxa"/>
            <w:tcBorders>
              <w:left w:val="single" w:sz="12" w:space="0" w:color="auto"/>
            </w:tcBorders>
          </w:tcPr>
          <w:p w:rsidR="00042379" w:rsidRPr="005853F0" w:rsidRDefault="00042379" w:rsidP="005D7B59">
            <w:r w:rsidRPr="005853F0">
              <w:t>2021–22</w:t>
            </w:r>
          </w:p>
        </w:tc>
        <w:tc>
          <w:tcPr>
            <w:tcW w:w="2617" w:type="dxa"/>
          </w:tcPr>
          <w:p w:rsidR="00042379" w:rsidRPr="005853F0" w:rsidRDefault="00042379" w:rsidP="005D7B59">
            <w:r w:rsidRPr="005853F0">
              <w:t>170</w:t>
            </w:r>
          </w:p>
        </w:tc>
        <w:tc>
          <w:tcPr>
            <w:tcW w:w="2831" w:type="dxa"/>
            <w:tcBorders>
              <w:right w:val="single" w:sz="12" w:space="0" w:color="auto"/>
            </w:tcBorders>
          </w:tcPr>
          <w:p w:rsidR="00042379" w:rsidRPr="005853F0" w:rsidRDefault="00042379" w:rsidP="005D7B59">
            <w:r w:rsidRPr="005853F0">
              <w:t>154</w:t>
            </w:r>
          </w:p>
        </w:tc>
      </w:tr>
      <w:tr w:rsidR="00042379" w:rsidRPr="005853F0" w:rsidTr="005D7B59">
        <w:trPr>
          <w:jc w:val="center"/>
        </w:trPr>
        <w:tc>
          <w:tcPr>
            <w:tcW w:w="2381" w:type="dxa"/>
            <w:tcBorders>
              <w:left w:val="single" w:sz="12" w:space="0" w:color="auto"/>
            </w:tcBorders>
          </w:tcPr>
          <w:p w:rsidR="00042379" w:rsidRPr="005853F0" w:rsidRDefault="00042379" w:rsidP="005D7B59">
            <w:r w:rsidRPr="005853F0">
              <w:t>2022–23</w:t>
            </w:r>
          </w:p>
        </w:tc>
        <w:tc>
          <w:tcPr>
            <w:tcW w:w="2617" w:type="dxa"/>
          </w:tcPr>
          <w:p w:rsidR="00042379" w:rsidRPr="005853F0" w:rsidRDefault="00042379" w:rsidP="005D7B59">
            <w:r w:rsidRPr="005853F0">
              <w:t>225</w:t>
            </w:r>
          </w:p>
        </w:tc>
        <w:tc>
          <w:tcPr>
            <w:tcW w:w="2831" w:type="dxa"/>
            <w:tcBorders>
              <w:right w:val="single" w:sz="12" w:space="0" w:color="auto"/>
            </w:tcBorders>
          </w:tcPr>
          <w:p w:rsidR="00042379" w:rsidRPr="005853F0" w:rsidRDefault="00042379" w:rsidP="005D7B59">
            <w:r w:rsidRPr="005853F0">
              <w:t>206</w:t>
            </w:r>
          </w:p>
        </w:tc>
      </w:tr>
      <w:tr w:rsidR="00042379" w:rsidRPr="005853F0" w:rsidTr="005D7B59">
        <w:trPr>
          <w:jc w:val="center"/>
        </w:trPr>
        <w:tc>
          <w:tcPr>
            <w:tcW w:w="2381" w:type="dxa"/>
            <w:tcBorders>
              <w:left w:val="single" w:sz="12" w:space="0" w:color="auto"/>
              <w:bottom w:val="single" w:sz="12" w:space="0" w:color="auto"/>
            </w:tcBorders>
          </w:tcPr>
          <w:p w:rsidR="00042379" w:rsidRPr="005853F0" w:rsidRDefault="00042379" w:rsidP="005D7B59">
            <w:r w:rsidRPr="005853F0">
              <w:t>2023–24</w:t>
            </w:r>
          </w:p>
        </w:tc>
        <w:tc>
          <w:tcPr>
            <w:tcW w:w="2617" w:type="dxa"/>
            <w:tcBorders>
              <w:bottom w:val="single" w:sz="12" w:space="0" w:color="auto"/>
            </w:tcBorders>
          </w:tcPr>
          <w:p w:rsidR="00042379" w:rsidRPr="005853F0" w:rsidRDefault="00042379" w:rsidP="005D7B59">
            <w:r w:rsidRPr="005853F0">
              <w:t>1</w:t>
            </w:r>
            <w:r>
              <w:t>97</w:t>
            </w:r>
          </w:p>
        </w:tc>
        <w:tc>
          <w:tcPr>
            <w:tcW w:w="2831" w:type="dxa"/>
            <w:tcBorders>
              <w:bottom w:val="single" w:sz="12" w:space="0" w:color="auto"/>
              <w:right w:val="single" w:sz="12" w:space="0" w:color="auto"/>
            </w:tcBorders>
          </w:tcPr>
          <w:p w:rsidR="00042379" w:rsidRPr="005853F0" w:rsidRDefault="00042379" w:rsidP="003F3C16">
            <w:r>
              <w:t>1</w:t>
            </w:r>
            <w:r w:rsidR="003F3C16">
              <w:t>82</w:t>
            </w:r>
          </w:p>
        </w:tc>
      </w:tr>
    </w:tbl>
    <w:p w:rsidR="00042379" w:rsidRPr="008C4834" w:rsidRDefault="00042379" w:rsidP="00114488">
      <w:pPr>
        <w:spacing w:before="240" w:after="40"/>
        <w:ind w:left="567" w:hanging="567"/>
        <w:jc w:val="both"/>
        <w:rPr>
          <w:rFonts w:cstheme="minorHAnsi"/>
        </w:rPr>
      </w:pPr>
      <w:r w:rsidRPr="008C4834">
        <w:rPr>
          <w:rFonts w:cstheme="minorHAnsi"/>
        </w:rPr>
        <w:t>2.</w:t>
      </w:r>
      <w:r w:rsidRPr="008C4834">
        <w:rPr>
          <w:rFonts w:cstheme="minorHAnsi"/>
        </w:rPr>
        <w:tab/>
        <w:t>Děkan FAST VUT jmen</w:t>
      </w:r>
      <w:r w:rsidR="00114488">
        <w:rPr>
          <w:rFonts w:cstheme="minorHAnsi"/>
        </w:rPr>
        <w:t>oval</w:t>
      </w:r>
      <w:r w:rsidRPr="008C4834">
        <w:rPr>
          <w:rFonts w:cstheme="minorHAnsi"/>
        </w:rPr>
        <w:t xml:space="preserve"> zkušební komisi pro talentové zkoušky, které proběhnou </w:t>
      </w:r>
      <w:r w:rsidRPr="008C4834">
        <w:rPr>
          <w:rFonts w:cstheme="minorHAnsi"/>
        </w:rPr>
        <w:br/>
        <w:t xml:space="preserve">22.–23. 2. 2023 </w:t>
      </w:r>
      <w:r w:rsidR="00114488">
        <w:rPr>
          <w:rFonts w:cstheme="minorHAnsi"/>
        </w:rPr>
        <w:t>(</w:t>
      </w:r>
      <w:r w:rsidRPr="008C4834">
        <w:rPr>
          <w:rFonts w:cstheme="minorHAnsi"/>
        </w:rPr>
        <w:t>s náhradním termínem 2. 3. 2023</w:t>
      </w:r>
      <w:r w:rsidR="00114488">
        <w:rPr>
          <w:rFonts w:cstheme="minorHAnsi"/>
        </w:rPr>
        <w:t>)</w:t>
      </w:r>
      <w:r w:rsidRPr="008C4834">
        <w:rPr>
          <w:rFonts w:cstheme="minorHAnsi"/>
        </w:rPr>
        <w:t xml:space="preserve"> konané v rámci přijímacího řízení do BSP </w:t>
      </w:r>
      <w:r w:rsidRPr="008C4834">
        <w:rPr>
          <w:rFonts w:cstheme="minorHAnsi"/>
          <w:i/>
        </w:rPr>
        <w:t>Architektura pozemních staveb</w:t>
      </w:r>
      <w:r w:rsidRPr="008C4834">
        <w:rPr>
          <w:rFonts w:cstheme="minorHAnsi"/>
        </w:rPr>
        <w:t xml:space="preserve"> pro akademický rok 2023–24</w:t>
      </w:r>
      <w:r w:rsidR="00114488">
        <w:rPr>
          <w:rFonts w:cstheme="minorHAnsi"/>
        </w:rPr>
        <w:t xml:space="preserve">. </w:t>
      </w:r>
      <w:r w:rsidRPr="008C4834">
        <w:rPr>
          <w:rFonts w:cstheme="minorHAnsi"/>
        </w:rPr>
        <w:t>Zkušební komise bude zasedat 3. 3. 2023.</w:t>
      </w:r>
    </w:p>
    <w:p w:rsidR="00114488" w:rsidRPr="008C4834" w:rsidRDefault="00114488" w:rsidP="00114488">
      <w:pPr>
        <w:ind w:left="567" w:hanging="567"/>
        <w:jc w:val="both"/>
        <w:rPr>
          <w:rFonts w:cstheme="minorHAnsi"/>
          <w:shd w:val="clear" w:color="auto" w:fill="FAF9F8"/>
        </w:rPr>
      </w:pPr>
      <w:r>
        <w:rPr>
          <w:rFonts w:cstheme="minorHAnsi"/>
        </w:rPr>
        <w:t>3</w:t>
      </w:r>
      <w:r w:rsidRPr="008C4834">
        <w:rPr>
          <w:rFonts w:cstheme="minorHAnsi"/>
        </w:rPr>
        <w:t>.</w:t>
      </w:r>
      <w:r w:rsidRPr="008C4834">
        <w:rPr>
          <w:rFonts w:cstheme="minorHAnsi"/>
        </w:rPr>
        <w:tab/>
      </w:r>
      <w:r w:rsidRPr="008C4834">
        <w:rPr>
          <w:rFonts w:cstheme="minorHAnsi"/>
          <w:shd w:val="clear" w:color="auto" w:fill="FAF9F8"/>
        </w:rPr>
        <w:t>Ve čtvrtek 15.</w:t>
      </w:r>
      <w:r>
        <w:rPr>
          <w:rFonts w:cstheme="minorHAnsi"/>
          <w:shd w:val="clear" w:color="auto" w:fill="FAF9F8"/>
        </w:rPr>
        <w:t> </w:t>
      </w:r>
      <w:r w:rsidRPr="008C4834">
        <w:rPr>
          <w:rFonts w:cstheme="minorHAnsi"/>
          <w:shd w:val="clear" w:color="auto" w:fill="FAF9F8"/>
        </w:rPr>
        <w:t>12.</w:t>
      </w:r>
      <w:r>
        <w:rPr>
          <w:rFonts w:cstheme="minorHAnsi"/>
          <w:shd w:val="clear" w:color="auto" w:fill="FAF9F8"/>
        </w:rPr>
        <w:t> </w:t>
      </w:r>
      <w:r w:rsidRPr="008C4834">
        <w:rPr>
          <w:rFonts w:cstheme="minorHAnsi"/>
          <w:shd w:val="clear" w:color="auto" w:fill="FAF9F8"/>
        </w:rPr>
        <w:t>2022 proběhlo zasedání Rady studijních programů, na kterém byly mj.</w:t>
      </w:r>
      <w:r>
        <w:rPr>
          <w:rFonts w:cstheme="minorHAnsi"/>
          <w:shd w:val="clear" w:color="auto" w:fill="FAF9F8"/>
        </w:rPr>
        <w:t> </w:t>
      </w:r>
      <w:r w:rsidRPr="008C4834">
        <w:rPr>
          <w:rFonts w:cstheme="minorHAnsi"/>
          <w:shd w:val="clear" w:color="auto" w:fill="FAF9F8"/>
        </w:rPr>
        <w:t xml:space="preserve">projednány a schváleny 2 nové volitelné předměty </w:t>
      </w:r>
      <w:r>
        <w:rPr>
          <w:rFonts w:cstheme="minorHAnsi"/>
          <w:shd w:val="clear" w:color="auto" w:fill="FAF9F8"/>
        </w:rPr>
        <w:t>(</w:t>
      </w:r>
      <w:r w:rsidR="00CA57F1" w:rsidRPr="00CA57F1">
        <w:rPr>
          <w:rFonts w:cstheme="minorHAnsi"/>
          <w:i/>
          <w:shd w:val="clear" w:color="auto" w:fill="FAF9F8"/>
        </w:rPr>
        <w:t>Řešené příklady z Matematiky 2</w:t>
      </w:r>
      <w:r w:rsidR="00CA57F1">
        <w:rPr>
          <w:rFonts w:cstheme="minorHAnsi"/>
          <w:shd w:val="clear" w:color="auto" w:fill="FAF9F8"/>
        </w:rPr>
        <w:t xml:space="preserve">, </w:t>
      </w:r>
      <w:r w:rsidR="00CA57F1" w:rsidRPr="00CA57F1">
        <w:rPr>
          <w:rFonts w:cstheme="minorHAnsi"/>
          <w:i/>
          <w:shd w:val="clear" w:color="auto" w:fill="FAF9F8"/>
        </w:rPr>
        <w:t>Vybrané okruhy stavební praxe</w:t>
      </w:r>
      <w:r>
        <w:rPr>
          <w:rFonts w:cstheme="minorHAnsi"/>
          <w:shd w:val="clear" w:color="auto" w:fill="FAF9F8"/>
        </w:rPr>
        <w:t xml:space="preserve">) </w:t>
      </w:r>
      <w:r w:rsidRPr="008C4834">
        <w:rPr>
          <w:rFonts w:cstheme="minorHAnsi"/>
          <w:shd w:val="clear" w:color="auto" w:fill="FAF9F8"/>
        </w:rPr>
        <w:t>a jedna aktualizace volitelného předmětu</w:t>
      </w:r>
      <w:r w:rsidR="00CA57F1">
        <w:rPr>
          <w:rFonts w:cstheme="minorHAnsi"/>
          <w:shd w:val="clear" w:color="auto" w:fill="FAF9F8"/>
        </w:rPr>
        <w:t xml:space="preserve"> (</w:t>
      </w:r>
      <w:r w:rsidR="00CA57F1" w:rsidRPr="00CA57F1">
        <w:rPr>
          <w:rFonts w:cstheme="minorHAnsi"/>
          <w:i/>
          <w:shd w:val="clear" w:color="auto" w:fill="FAF9F8"/>
        </w:rPr>
        <w:t>Počítačová podpora numerických metod</w:t>
      </w:r>
      <w:r w:rsidR="00CA57F1">
        <w:rPr>
          <w:rFonts w:cstheme="minorHAnsi"/>
          <w:shd w:val="clear" w:color="auto" w:fill="FAF9F8"/>
        </w:rPr>
        <w:t>)</w:t>
      </w:r>
      <w:r w:rsidRPr="008C4834">
        <w:rPr>
          <w:rFonts w:cstheme="minorHAnsi"/>
          <w:shd w:val="clear" w:color="auto" w:fill="FAF9F8"/>
        </w:rPr>
        <w:t>.</w:t>
      </w:r>
    </w:p>
    <w:p w:rsidR="00114488" w:rsidRPr="008C4834" w:rsidRDefault="00114488" w:rsidP="00114488">
      <w:pPr>
        <w:ind w:left="567" w:hanging="567"/>
        <w:jc w:val="both"/>
        <w:rPr>
          <w:rFonts w:cstheme="minorHAnsi"/>
        </w:rPr>
      </w:pPr>
      <w:r w:rsidRPr="008C4834">
        <w:rPr>
          <w:rFonts w:cstheme="minorHAnsi"/>
        </w:rPr>
        <w:t>4.</w:t>
      </w:r>
      <w:r w:rsidRPr="008C4834">
        <w:rPr>
          <w:rFonts w:cstheme="minorHAnsi"/>
        </w:rPr>
        <w:tab/>
        <w:t xml:space="preserve">Od </w:t>
      </w:r>
      <w:r>
        <w:rPr>
          <w:rFonts w:cstheme="minorHAnsi"/>
        </w:rPr>
        <w:t xml:space="preserve">16. 1. 2023 </w:t>
      </w:r>
      <w:r w:rsidRPr="008C4834">
        <w:rPr>
          <w:rFonts w:cstheme="minorHAnsi"/>
        </w:rPr>
        <w:t>probíh</w:t>
      </w:r>
      <w:r>
        <w:rPr>
          <w:rFonts w:cstheme="minorHAnsi"/>
        </w:rPr>
        <w:t>á</w:t>
      </w:r>
      <w:r w:rsidRPr="008C4834">
        <w:rPr>
          <w:rFonts w:cstheme="minorHAnsi"/>
        </w:rPr>
        <w:t xml:space="preserve"> hodnocení kvality výuky za zimní semestr akademického roku 2022–23 (do 1</w:t>
      </w:r>
      <w:r>
        <w:rPr>
          <w:rFonts w:cstheme="minorHAnsi"/>
        </w:rPr>
        <w:t>9</w:t>
      </w:r>
      <w:r w:rsidRPr="008C4834">
        <w:rPr>
          <w:rFonts w:cstheme="minorHAnsi"/>
        </w:rPr>
        <w:t>.</w:t>
      </w:r>
      <w:r>
        <w:rPr>
          <w:rFonts w:cstheme="minorHAnsi"/>
        </w:rPr>
        <w:t> </w:t>
      </w:r>
      <w:r w:rsidRPr="008C4834">
        <w:rPr>
          <w:rFonts w:cstheme="minorHAnsi"/>
        </w:rPr>
        <w:t>2.</w:t>
      </w:r>
      <w:r>
        <w:rPr>
          <w:rFonts w:cstheme="minorHAnsi"/>
        </w:rPr>
        <w:t> </w:t>
      </w:r>
      <w:r w:rsidRPr="008C4834">
        <w:rPr>
          <w:rFonts w:cstheme="minorHAnsi"/>
        </w:rPr>
        <w:t>2023). Následně se k němu vyjádří vedoucí ústavů.</w:t>
      </w:r>
    </w:p>
    <w:p w:rsidR="00042379" w:rsidRPr="008C4834" w:rsidRDefault="00114488" w:rsidP="00042379">
      <w:pPr>
        <w:ind w:left="567" w:hanging="567"/>
        <w:jc w:val="both"/>
      </w:pPr>
      <w:r>
        <w:rPr>
          <w:rFonts w:cstheme="minorHAnsi"/>
        </w:rPr>
        <w:t>5</w:t>
      </w:r>
      <w:r w:rsidR="00042379" w:rsidRPr="008C4834">
        <w:rPr>
          <w:rFonts w:cstheme="minorHAnsi"/>
        </w:rPr>
        <w:t>.</w:t>
      </w:r>
      <w:r w:rsidR="00042379" w:rsidRPr="008C4834">
        <w:rPr>
          <w:rFonts w:cstheme="minorHAnsi"/>
        </w:rPr>
        <w:tab/>
        <w:t>Na ústavy bude odeslán dopis s informacemi o organizaci a průběhu SZZ.</w:t>
      </w:r>
    </w:p>
    <w:p w:rsidR="00042379" w:rsidRPr="008C4834" w:rsidRDefault="003F3C16" w:rsidP="00042379">
      <w:pPr>
        <w:ind w:left="567" w:hanging="567"/>
        <w:jc w:val="both"/>
        <w:rPr>
          <w:rFonts w:cstheme="minorHAnsi"/>
        </w:rPr>
      </w:pPr>
      <w:r>
        <w:rPr>
          <w:rFonts w:cstheme="minorHAnsi"/>
        </w:rPr>
        <w:t>6</w:t>
      </w:r>
      <w:r w:rsidR="00042379" w:rsidRPr="008C4834">
        <w:rPr>
          <w:rFonts w:cstheme="minorHAnsi"/>
        </w:rPr>
        <w:t>.</w:t>
      </w:r>
      <w:r w:rsidR="00042379" w:rsidRPr="008C4834">
        <w:rPr>
          <w:rFonts w:cstheme="minorHAnsi"/>
          <w:shd w:val="clear" w:color="auto" w:fill="FAF9F8"/>
        </w:rPr>
        <w:tab/>
      </w:r>
      <w:r w:rsidR="00CA57F1">
        <w:rPr>
          <w:rFonts w:cstheme="minorHAnsi"/>
          <w:shd w:val="clear" w:color="auto" w:fill="FAF9F8"/>
        </w:rPr>
        <w:t xml:space="preserve">Připravuje se </w:t>
      </w:r>
      <w:r w:rsidR="00CA57F1">
        <w:rPr>
          <w:rFonts w:cstheme="minorHAnsi"/>
        </w:rPr>
        <w:t xml:space="preserve">návrh </w:t>
      </w:r>
      <w:r w:rsidR="00CA57F1" w:rsidRPr="008C4834">
        <w:rPr>
          <w:rFonts w:cstheme="minorHAnsi"/>
        </w:rPr>
        <w:t>dopis</w:t>
      </w:r>
      <w:r w:rsidR="00CA57F1">
        <w:rPr>
          <w:rFonts w:cstheme="minorHAnsi"/>
        </w:rPr>
        <w:t>u</w:t>
      </w:r>
      <w:r w:rsidR="00CA57F1" w:rsidRPr="008C4834">
        <w:rPr>
          <w:rFonts w:cstheme="minorHAnsi"/>
        </w:rPr>
        <w:t xml:space="preserve"> </w:t>
      </w:r>
      <w:r w:rsidR="00CA57F1">
        <w:rPr>
          <w:rFonts w:cstheme="minorHAnsi"/>
        </w:rPr>
        <w:t xml:space="preserve">k zapojení fakulty do </w:t>
      </w:r>
      <w:r w:rsidR="00042379" w:rsidRPr="008C4834">
        <w:rPr>
          <w:rFonts w:cstheme="minorHAnsi"/>
        </w:rPr>
        <w:t>Strategi</w:t>
      </w:r>
      <w:r w:rsidR="00CA57F1">
        <w:rPr>
          <w:rFonts w:cstheme="minorHAnsi"/>
        </w:rPr>
        <w:t>e</w:t>
      </w:r>
      <w:r w:rsidR="00042379" w:rsidRPr="008C4834">
        <w:rPr>
          <w:rFonts w:cstheme="minorHAnsi"/>
        </w:rPr>
        <w:t xml:space="preserve"> rozvoje infrastruktury pro prostorové informace v České republice.</w:t>
      </w:r>
    </w:p>
    <w:p w:rsidR="005E330B" w:rsidRPr="003C0B8E" w:rsidRDefault="00114488" w:rsidP="003F3C16">
      <w:pPr>
        <w:ind w:left="567" w:hanging="567"/>
        <w:jc w:val="both"/>
        <w:rPr>
          <w:rFonts w:cstheme="minorHAnsi"/>
        </w:rPr>
      </w:pPr>
      <w:r>
        <w:rPr>
          <w:rFonts w:cstheme="minorHAnsi"/>
        </w:rPr>
        <w:t>7</w:t>
      </w:r>
      <w:r w:rsidR="003F3C16">
        <w:rPr>
          <w:rFonts w:cstheme="minorHAnsi"/>
        </w:rPr>
        <w:t>.</w:t>
      </w:r>
      <w:r w:rsidR="003F3C16">
        <w:rPr>
          <w:rFonts w:cstheme="minorHAnsi"/>
        </w:rPr>
        <w:tab/>
      </w:r>
      <w:r w:rsidR="005E330B" w:rsidRPr="003C0B8E">
        <w:rPr>
          <w:rFonts w:cstheme="minorHAnsi"/>
        </w:rPr>
        <w:t>Zkouškové období v lednu a v únoru 2023. Toto zkouškové období je prodlouženo do prvních dvou týdnů letního semestru (do 17. 2. 2023).</w:t>
      </w:r>
    </w:p>
    <w:p w:rsidR="00042379" w:rsidRPr="003C0B8E" w:rsidRDefault="00114488" w:rsidP="003F3C16">
      <w:pPr>
        <w:ind w:left="567" w:hanging="567"/>
        <w:jc w:val="both"/>
        <w:rPr>
          <w:rFonts w:cstheme="minorHAnsi"/>
          <w:lang w:val="en-US"/>
        </w:rPr>
      </w:pPr>
      <w:r>
        <w:rPr>
          <w:rStyle w:val="normaltextrun"/>
          <w:rFonts w:cstheme="minorHAnsi"/>
        </w:rPr>
        <w:t>8</w:t>
      </w:r>
      <w:r w:rsidR="003F3C16">
        <w:rPr>
          <w:rStyle w:val="normaltextrun"/>
          <w:rFonts w:cstheme="minorHAnsi"/>
        </w:rPr>
        <w:t>.</w:t>
      </w:r>
      <w:r w:rsidR="005E330B">
        <w:rPr>
          <w:rStyle w:val="normaltextrun"/>
          <w:rFonts w:cstheme="minorHAnsi"/>
        </w:rPr>
        <w:tab/>
      </w:r>
      <w:r w:rsidR="003C0B8E" w:rsidRPr="001223E6">
        <w:rPr>
          <w:rStyle w:val="normaltextrun"/>
          <w:rFonts w:cstheme="minorHAnsi"/>
        </w:rPr>
        <w:t xml:space="preserve">NPO studijní programy </w:t>
      </w:r>
      <w:r w:rsidR="003C0B8E" w:rsidRPr="001223E6">
        <w:rPr>
          <w:rStyle w:val="normaltextrun"/>
          <w:rFonts w:cstheme="minorHAnsi"/>
          <w:i/>
        </w:rPr>
        <w:t>Environmentální inženýrství</w:t>
      </w:r>
      <w:r w:rsidR="003C0B8E" w:rsidRPr="001223E6">
        <w:rPr>
          <w:rStyle w:val="normaltextrun"/>
          <w:rFonts w:cstheme="minorHAnsi"/>
        </w:rPr>
        <w:t xml:space="preserve">, </w:t>
      </w:r>
      <w:r w:rsidR="003C0B8E" w:rsidRPr="001223E6">
        <w:rPr>
          <w:rStyle w:val="normaltextrun"/>
          <w:rFonts w:cstheme="minorHAnsi"/>
          <w:i/>
        </w:rPr>
        <w:t>Příprava, realizace a provoz staveb</w:t>
      </w:r>
      <w:r w:rsidR="003C0B8E" w:rsidRPr="001223E6">
        <w:rPr>
          <w:rStyle w:val="normaltextrun"/>
          <w:rFonts w:cstheme="minorHAnsi"/>
        </w:rPr>
        <w:t xml:space="preserve">, </w:t>
      </w:r>
      <w:r w:rsidR="003C0B8E" w:rsidRPr="001223E6">
        <w:rPr>
          <w:rStyle w:val="normaltextrun"/>
          <w:rFonts w:cstheme="minorHAnsi"/>
          <w:i/>
        </w:rPr>
        <w:t>Bezpečnostní inženýrství ve stavebnictví</w:t>
      </w:r>
      <w:r w:rsidR="003C0B8E" w:rsidRPr="001223E6">
        <w:rPr>
          <w:rStyle w:val="normaltextrun"/>
          <w:rFonts w:cstheme="minorHAnsi"/>
        </w:rPr>
        <w:t xml:space="preserve"> – </w:t>
      </w:r>
      <w:r>
        <w:rPr>
          <w:rStyle w:val="normaltextrun"/>
          <w:rFonts w:cstheme="minorHAnsi"/>
        </w:rPr>
        <w:t>dokončují</w:t>
      </w:r>
      <w:r w:rsidR="003C0B8E" w:rsidRPr="001223E6">
        <w:rPr>
          <w:rStyle w:val="normaltextrun"/>
          <w:rFonts w:cstheme="minorHAnsi"/>
        </w:rPr>
        <w:t xml:space="preserve"> se studijní plány.</w:t>
      </w:r>
    </w:p>
    <w:sectPr w:rsidR="00042379" w:rsidRPr="003C0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2352A"/>
    <w:multiLevelType w:val="hybridMultilevel"/>
    <w:tmpl w:val="B642B980"/>
    <w:lvl w:ilvl="0" w:tplc="F4F6499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4A261F"/>
    <w:multiLevelType w:val="hybridMultilevel"/>
    <w:tmpl w:val="4D38ED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536CBC"/>
    <w:multiLevelType w:val="multilevel"/>
    <w:tmpl w:val="64D2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A276F7"/>
    <w:multiLevelType w:val="multilevel"/>
    <w:tmpl w:val="58D67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45"/>
    <w:rsid w:val="00042379"/>
    <w:rsid w:val="00114488"/>
    <w:rsid w:val="002C2BEA"/>
    <w:rsid w:val="002E1916"/>
    <w:rsid w:val="003C0B8E"/>
    <w:rsid w:val="003F3C16"/>
    <w:rsid w:val="004A22DE"/>
    <w:rsid w:val="005A0B45"/>
    <w:rsid w:val="005E330B"/>
    <w:rsid w:val="006D296D"/>
    <w:rsid w:val="00750844"/>
    <w:rsid w:val="007616CF"/>
    <w:rsid w:val="007B5CD7"/>
    <w:rsid w:val="008D3381"/>
    <w:rsid w:val="009C28F6"/>
    <w:rsid w:val="00B20869"/>
    <w:rsid w:val="00CA57F1"/>
    <w:rsid w:val="00E42211"/>
    <w:rsid w:val="00FC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30FD1-0B46-4DAB-8AAF-062AAF6D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0B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0B45"/>
    <w:pPr>
      <w:ind w:left="720"/>
      <w:contextualSpacing/>
    </w:pPr>
  </w:style>
  <w:style w:type="paragraph" w:customStyle="1" w:styleId="paragraph">
    <w:name w:val="paragraph"/>
    <w:basedOn w:val="Normln"/>
    <w:rsid w:val="005A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A0B45"/>
  </w:style>
  <w:style w:type="character" w:customStyle="1" w:styleId="eop">
    <w:name w:val="eop"/>
    <w:basedOn w:val="Standardnpsmoodstavce"/>
    <w:rsid w:val="005A0B45"/>
  </w:style>
  <w:style w:type="table" w:styleId="Mkatabulky">
    <w:name w:val="Table Grid"/>
    <w:basedOn w:val="Normlntabulka"/>
    <w:uiPriority w:val="39"/>
    <w:rsid w:val="007B5C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char">
    <w:name w:val="tabchar"/>
    <w:basedOn w:val="Standardnpsmoodstavce"/>
    <w:rsid w:val="007616CF"/>
  </w:style>
  <w:style w:type="paragraph" w:styleId="Textbubliny">
    <w:name w:val="Balloon Text"/>
    <w:basedOn w:val="Normln"/>
    <w:link w:val="TextbublinyChar"/>
    <w:uiPriority w:val="99"/>
    <w:semiHidden/>
    <w:unhideWhenUsed/>
    <w:rsid w:val="004A2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6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1388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Jandora Jan (2330)</dc:creator>
  <cp:keywords/>
  <dc:description/>
  <cp:lastModifiedBy>Krajíčková Lenka (2211)</cp:lastModifiedBy>
  <cp:revision>2</cp:revision>
  <cp:lastPrinted>2022-12-13T17:50:00Z</cp:lastPrinted>
  <dcterms:created xsi:type="dcterms:W3CDTF">2023-02-23T09:46:00Z</dcterms:created>
  <dcterms:modified xsi:type="dcterms:W3CDTF">2023-02-23T09:46:00Z</dcterms:modified>
</cp:coreProperties>
</file>